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E1" w:rsidRDefault="00D7088B" w:rsidP="008B7406">
      <w:pPr>
        <w:pStyle w:val="1"/>
        <w:jc w:val="center"/>
      </w:pPr>
      <w:r>
        <w:rPr>
          <w:rFonts w:hint="eastAsia"/>
        </w:rPr>
        <w:t>试剂管理</w:t>
      </w:r>
      <w:r w:rsidR="00FA41E1" w:rsidRPr="00E14C8F">
        <w:rPr>
          <w:rFonts w:hint="eastAsia"/>
        </w:rPr>
        <w:t>系统</w:t>
      </w:r>
    </w:p>
    <w:p w:rsidR="00FA41E1" w:rsidRDefault="00FA41E1" w:rsidP="00FA41E1">
      <w:pPr>
        <w:pStyle w:val="1"/>
      </w:pPr>
      <w:r>
        <w:rPr>
          <w:rFonts w:hint="eastAsia"/>
        </w:rPr>
        <w:t>招标技术参数</w:t>
      </w:r>
    </w:p>
    <w:p w:rsidR="00FA41E1" w:rsidRDefault="00D7088B" w:rsidP="00FA41E1">
      <w:pPr>
        <w:spacing w:line="360" w:lineRule="auto"/>
        <w:ind w:firstLineChars="177" w:firstLine="372"/>
        <w:rPr>
          <w:szCs w:val="24"/>
        </w:rPr>
      </w:pPr>
      <w:r>
        <w:rPr>
          <w:rFonts w:hint="eastAsia"/>
          <w:szCs w:val="24"/>
        </w:rPr>
        <w:t>试剂管理</w:t>
      </w:r>
      <w:r w:rsidR="00FA41E1">
        <w:rPr>
          <w:rFonts w:hint="eastAsia"/>
          <w:szCs w:val="24"/>
        </w:rPr>
        <w:t>系统软件必须满足目前</w:t>
      </w:r>
      <w:r w:rsidR="00674B83">
        <w:rPr>
          <w:rFonts w:hint="eastAsia"/>
          <w:szCs w:val="24"/>
        </w:rPr>
        <w:t>检验科的日常工作要求，并且符合卫生部《医院信息系统基本功能规范》</w:t>
      </w:r>
      <w:r w:rsidR="00FA41E1">
        <w:rPr>
          <w:rFonts w:hint="eastAsia"/>
          <w:szCs w:val="24"/>
        </w:rPr>
        <w:t>以及国家有关医院管理规章制度。符合</w:t>
      </w:r>
      <w:r w:rsidR="00674B83">
        <w:rPr>
          <w:rFonts w:hint="eastAsia"/>
          <w:szCs w:val="24"/>
        </w:rPr>
        <w:t>采购中心、检验科的</w:t>
      </w:r>
      <w:r w:rsidR="00FA41E1">
        <w:rPr>
          <w:rFonts w:hint="eastAsia"/>
          <w:szCs w:val="24"/>
        </w:rPr>
        <w:t>操作规范，满足三级医院评审标准规范。</w:t>
      </w:r>
    </w:p>
    <w:p w:rsidR="00674B83" w:rsidRPr="00674B83" w:rsidRDefault="00674B83" w:rsidP="00674B83">
      <w:pPr>
        <w:spacing w:line="360" w:lineRule="auto"/>
        <w:ind w:firstLineChars="177" w:firstLine="372"/>
        <w:rPr>
          <w:szCs w:val="24"/>
        </w:rPr>
      </w:pPr>
      <w:r w:rsidRPr="00674B83">
        <w:rPr>
          <w:rFonts w:hint="eastAsia"/>
          <w:szCs w:val="24"/>
        </w:rPr>
        <w:t>为进一步规范医院各类试剂入库、出库、消耗等业务管理，实现检验试剂从小组需求、采购、入库、进入检验科二级库，到消耗等全流程信息化管理，实施基于供应链</w:t>
      </w:r>
      <w:r w:rsidRPr="00674B83">
        <w:rPr>
          <w:rFonts w:hint="eastAsia"/>
          <w:szCs w:val="24"/>
        </w:rPr>
        <w:t>+</w:t>
      </w:r>
      <w:r w:rsidRPr="00674B83">
        <w:rPr>
          <w:rFonts w:hint="eastAsia"/>
          <w:szCs w:val="24"/>
        </w:rPr>
        <w:t>模式的检验诊断试剂二级库管理系统。系统的上线实施打破了传统的诊断试剂手工管理模式，实现了“互联网</w:t>
      </w:r>
      <w:r w:rsidRPr="00674B83">
        <w:rPr>
          <w:rFonts w:hint="eastAsia"/>
          <w:szCs w:val="24"/>
        </w:rPr>
        <w:t>+</w:t>
      </w:r>
      <w:r w:rsidRPr="00674B83">
        <w:rPr>
          <w:rFonts w:hint="eastAsia"/>
          <w:szCs w:val="24"/>
        </w:rPr>
        <w:t>医院物流”管理模式。首先，系统整合了内外物流一体化管理，使采购各环节流程紧密相扣，提高了采购效率，有效监管供货商资质。其次，系统基于条码识别技术实现诊断试剂全程追溯管控，准确掌握每一盒试剂的最终去向，实现帐帐相符、帐物相符，为财务及管理部门提供详细、完备、准确的业务记录和分析数据。</w:t>
      </w:r>
    </w:p>
    <w:p w:rsidR="008B7406" w:rsidRDefault="008B7406" w:rsidP="00FA41E1">
      <w:pPr>
        <w:pStyle w:val="2"/>
      </w:pPr>
    </w:p>
    <w:p w:rsidR="00FA41E1" w:rsidRDefault="00FA41E1" w:rsidP="00FA41E1">
      <w:pPr>
        <w:pStyle w:val="2"/>
      </w:pPr>
      <w:r>
        <w:t>1</w:t>
      </w:r>
      <w:r>
        <w:rPr>
          <w:rFonts w:hint="eastAsia"/>
        </w:rPr>
        <w:t>软件技术参数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84"/>
      </w:tblGrid>
      <w:tr w:rsidR="00FA41E1" w:rsidTr="00A851F6">
        <w:tc>
          <w:tcPr>
            <w:tcW w:w="675" w:type="dxa"/>
          </w:tcPr>
          <w:p w:rsidR="00FA41E1" w:rsidRDefault="00FA41E1" w:rsidP="00B173C1">
            <w:pPr>
              <w:spacing w:line="360" w:lineRule="auto"/>
              <w:jc w:val="center"/>
              <w:rPr>
                <w:b/>
                <w:szCs w:val="24"/>
              </w:rPr>
            </w:pPr>
            <w:r>
              <w:rPr>
                <w:rFonts w:hint="eastAsia"/>
                <w:b/>
                <w:szCs w:val="24"/>
              </w:rPr>
              <w:t>序号</w:t>
            </w:r>
          </w:p>
        </w:tc>
        <w:tc>
          <w:tcPr>
            <w:tcW w:w="7684" w:type="dxa"/>
          </w:tcPr>
          <w:p w:rsidR="00FA41E1" w:rsidRDefault="00FA41E1" w:rsidP="00B173C1">
            <w:pPr>
              <w:spacing w:line="360" w:lineRule="auto"/>
              <w:jc w:val="center"/>
              <w:rPr>
                <w:b/>
                <w:szCs w:val="24"/>
              </w:rPr>
            </w:pPr>
            <w:r>
              <w:rPr>
                <w:rFonts w:hint="eastAsia"/>
                <w:b/>
                <w:szCs w:val="24"/>
              </w:rPr>
              <w:t>参数说明</w:t>
            </w:r>
          </w:p>
        </w:tc>
      </w:tr>
      <w:tr w:rsidR="00FA41E1" w:rsidTr="00A851F6">
        <w:tc>
          <w:tcPr>
            <w:tcW w:w="675" w:type="dxa"/>
            <w:vAlign w:val="center"/>
          </w:tcPr>
          <w:p w:rsidR="00FA41E1" w:rsidRDefault="00FA41E1" w:rsidP="00B173C1">
            <w:pPr>
              <w:spacing w:line="360" w:lineRule="auto"/>
              <w:jc w:val="center"/>
              <w:rPr>
                <w:b/>
                <w:szCs w:val="24"/>
              </w:rPr>
            </w:pPr>
            <w:r>
              <w:rPr>
                <w:b/>
                <w:szCs w:val="24"/>
              </w:rPr>
              <w:t>1</w:t>
            </w:r>
          </w:p>
        </w:tc>
        <w:tc>
          <w:tcPr>
            <w:tcW w:w="7684" w:type="dxa"/>
          </w:tcPr>
          <w:p w:rsidR="00FA41E1" w:rsidRDefault="00FA41E1" w:rsidP="00B173C1">
            <w:pPr>
              <w:rPr>
                <w:szCs w:val="24"/>
              </w:rPr>
            </w:pPr>
            <w:r>
              <w:rPr>
                <w:rFonts w:ascii="宋体" w:hAnsi="宋体" w:hint="eastAsia"/>
                <w:szCs w:val="21"/>
              </w:rPr>
              <w:t>投标人须具有基于大型数据系统开发经验，如</w:t>
            </w:r>
            <w:r>
              <w:rPr>
                <w:rFonts w:ascii="宋体" w:hAnsi="宋体"/>
                <w:szCs w:val="21"/>
              </w:rPr>
              <w:t>SQLSERVER</w:t>
            </w:r>
            <w:r>
              <w:rPr>
                <w:rFonts w:ascii="宋体" w:hAnsi="宋体" w:hint="eastAsia"/>
                <w:szCs w:val="21"/>
              </w:rPr>
              <w:t>或</w:t>
            </w:r>
            <w:r>
              <w:rPr>
                <w:rFonts w:ascii="宋体" w:hAnsi="宋体"/>
                <w:szCs w:val="21"/>
              </w:rPr>
              <w:t>ORACLE</w:t>
            </w:r>
            <w:r>
              <w:rPr>
                <w:rFonts w:ascii="宋体" w:hAnsi="宋体" w:hint="eastAsia"/>
                <w:szCs w:val="21"/>
              </w:rPr>
              <w:t>、等；软件产品经过多层面、多角度严格测试；系统响应速度和优化方案能确保日常工作的需要，不允许出现大型宕机事故。</w:t>
            </w:r>
          </w:p>
        </w:tc>
      </w:tr>
      <w:tr w:rsidR="00FA41E1" w:rsidTr="00A851F6">
        <w:tc>
          <w:tcPr>
            <w:tcW w:w="675" w:type="dxa"/>
            <w:vAlign w:val="center"/>
          </w:tcPr>
          <w:p w:rsidR="00FA41E1" w:rsidRDefault="00FA41E1" w:rsidP="00B173C1">
            <w:pPr>
              <w:spacing w:line="360" w:lineRule="auto"/>
              <w:jc w:val="center"/>
              <w:rPr>
                <w:b/>
                <w:szCs w:val="24"/>
              </w:rPr>
            </w:pPr>
            <w:r>
              <w:rPr>
                <w:b/>
                <w:szCs w:val="24"/>
              </w:rPr>
              <w:t>2</w:t>
            </w:r>
          </w:p>
        </w:tc>
        <w:tc>
          <w:tcPr>
            <w:tcW w:w="7684" w:type="dxa"/>
          </w:tcPr>
          <w:p w:rsidR="00FA41E1" w:rsidRDefault="00FA41E1" w:rsidP="00B173C1">
            <w:pPr>
              <w:rPr>
                <w:szCs w:val="24"/>
              </w:rPr>
            </w:pPr>
            <w:r>
              <w:rPr>
                <w:rFonts w:ascii="宋体" w:hAnsi="宋体" w:hint="eastAsia"/>
                <w:szCs w:val="21"/>
              </w:rPr>
              <w:t>系统可采用C/S、</w:t>
            </w:r>
            <w:r>
              <w:rPr>
                <w:rFonts w:ascii="宋体" w:hAnsi="宋体"/>
                <w:szCs w:val="21"/>
              </w:rPr>
              <w:t>B/S</w:t>
            </w:r>
            <w:r>
              <w:rPr>
                <w:rFonts w:ascii="宋体" w:hAnsi="宋体" w:hint="eastAsia"/>
                <w:szCs w:val="21"/>
              </w:rPr>
              <w:t>架构设计，应考虑实用性与先进性相结合，要体现易于理解、操作简单、提示清晰、逻辑性强，直观简洁，帮助信息丰富，而且要针对医院输入项目的特点对输入顺序专门定制，保证操作人员以最快速度和最少的击键次数完成工作。</w:t>
            </w:r>
          </w:p>
        </w:tc>
      </w:tr>
      <w:tr w:rsidR="00FA41E1" w:rsidTr="00A851F6">
        <w:tc>
          <w:tcPr>
            <w:tcW w:w="675" w:type="dxa"/>
            <w:vAlign w:val="center"/>
          </w:tcPr>
          <w:p w:rsidR="00FA41E1" w:rsidRDefault="00FA41E1" w:rsidP="00B173C1">
            <w:pPr>
              <w:spacing w:line="360" w:lineRule="auto"/>
              <w:jc w:val="center"/>
              <w:rPr>
                <w:b/>
                <w:szCs w:val="24"/>
              </w:rPr>
            </w:pPr>
            <w:r>
              <w:rPr>
                <w:b/>
                <w:szCs w:val="24"/>
              </w:rPr>
              <w:t>3</w:t>
            </w:r>
          </w:p>
        </w:tc>
        <w:tc>
          <w:tcPr>
            <w:tcW w:w="7684" w:type="dxa"/>
          </w:tcPr>
          <w:p w:rsidR="00FA41E1" w:rsidRDefault="00FA41E1" w:rsidP="00B173C1">
            <w:pPr>
              <w:rPr>
                <w:rFonts w:ascii="宋体"/>
                <w:szCs w:val="21"/>
              </w:rPr>
            </w:pPr>
            <w:r>
              <w:rPr>
                <w:rFonts w:ascii="宋体" w:hAnsi="宋体" w:hint="eastAsia"/>
                <w:szCs w:val="21"/>
              </w:rPr>
              <w:t>提供能够与任意厂商的</w:t>
            </w:r>
            <w:r>
              <w:rPr>
                <w:rFonts w:ascii="宋体" w:hAnsi="宋体"/>
                <w:szCs w:val="21"/>
              </w:rPr>
              <w:t>HIS</w:t>
            </w:r>
            <w:r>
              <w:rPr>
                <w:rFonts w:ascii="宋体" w:hAnsi="宋体" w:hint="eastAsia"/>
                <w:szCs w:val="21"/>
              </w:rPr>
              <w:t>、</w:t>
            </w:r>
            <w:r>
              <w:rPr>
                <w:rFonts w:ascii="宋体" w:hAnsi="宋体"/>
                <w:szCs w:val="21"/>
              </w:rPr>
              <w:t>PACS</w:t>
            </w:r>
            <w:r>
              <w:rPr>
                <w:rFonts w:ascii="宋体" w:hAnsi="宋体" w:hint="eastAsia"/>
                <w:szCs w:val="21"/>
              </w:rPr>
              <w:t>、</w:t>
            </w:r>
            <w:r>
              <w:rPr>
                <w:rFonts w:ascii="宋体" w:hAnsi="宋体"/>
                <w:szCs w:val="21"/>
              </w:rPr>
              <w:t>LIS</w:t>
            </w:r>
            <w:r>
              <w:rPr>
                <w:rFonts w:ascii="宋体" w:hAnsi="宋体" w:hint="eastAsia"/>
                <w:szCs w:val="21"/>
              </w:rPr>
              <w:t>等系统集成的接口，提供多种层次集成方式，包括数据表、</w:t>
            </w:r>
            <w:r>
              <w:rPr>
                <w:rFonts w:ascii="宋体" w:hAnsi="宋体"/>
                <w:szCs w:val="21"/>
              </w:rPr>
              <w:t>XML</w:t>
            </w:r>
            <w:r>
              <w:rPr>
                <w:rFonts w:ascii="宋体" w:hAnsi="宋体" w:hint="eastAsia"/>
                <w:szCs w:val="21"/>
              </w:rPr>
              <w:t>文件等，并可配合</w:t>
            </w:r>
            <w:r>
              <w:rPr>
                <w:rFonts w:ascii="宋体" w:hAnsi="宋体"/>
                <w:szCs w:val="21"/>
              </w:rPr>
              <w:t>HIS</w:t>
            </w:r>
            <w:r>
              <w:rPr>
                <w:rFonts w:ascii="宋体" w:hAnsi="宋体" w:hint="eastAsia"/>
                <w:szCs w:val="21"/>
              </w:rPr>
              <w:t>、电子病历系统等完成系统集成。</w:t>
            </w:r>
          </w:p>
        </w:tc>
      </w:tr>
    </w:tbl>
    <w:p w:rsidR="008B7406" w:rsidRDefault="008B7406" w:rsidP="00674B83">
      <w:pPr>
        <w:pStyle w:val="2"/>
      </w:pPr>
    </w:p>
    <w:p w:rsidR="00674B83" w:rsidRPr="00674B83" w:rsidRDefault="00FA41E1" w:rsidP="00674B83">
      <w:pPr>
        <w:pStyle w:val="2"/>
      </w:pPr>
      <w:r>
        <w:t>2</w:t>
      </w:r>
      <w:r>
        <w:rPr>
          <w:rFonts w:hint="eastAsia"/>
        </w:rPr>
        <w:t>软件功能技术参数</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6946"/>
      </w:tblGrid>
      <w:tr w:rsidR="00FA41E1" w:rsidTr="008B7406">
        <w:trPr>
          <w:tblHeader/>
        </w:trPr>
        <w:tc>
          <w:tcPr>
            <w:tcW w:w="675" w:type="dxa"/>
          </w:tcPr>
          <w:p w:rsidR="00FA41E1" w:rsidRDefault="00FA41E1" w:rsidP="00B173C1">
            <w:pPr>
              <w:spacing w:line="360" w:lineRule="auto"/>
              <w:jc w:val="center"/>
              <w:rPr>
                <w:b/>
              </w:rPr>
            </w:pPr>
            <w:r>
              <w:rPr>
                <w:rFonts w:hint="eastAsia"/>
                <w:b/>
              </w:rPr>
              <w:t>序号</w:t>
            </w:r>
          </w:p>
        </w:tc>
        <w:tc>
          <w:tcPr>
            <w:tcW w:w="709" w:type="dxa"/>
          </w:tcPr>
          <w:p w:rsidR="00FA41E1" w:rsidRDefault="00FA41E1" w:rsidP="00B173C1">
            <w:pPr>
              <w:spacing w:line="360" w:lineRule="auto"/>
              <w:jc w:val="center"/>
              <w:rPr>
                <w:b/>
              </w:rPr>
            </w:pPr>
            <w:r>
              <w:rPr>
                <w:rFonts w:hint="eastAsia"/>
                <w:b/>
              </w:rPr>
              <w:t>类别</w:t>
            </w:r>
          </w:p>
        </w:tc>
        <w:tc>
          <w:tcPr>
            <w:tcW w:w="6946" w:type="dxa"/>
          </w:tcPr>
          <w:p w:rsidR="00FA41E1" w:rsidRDefault="00FA41E1" w:rsidP="00B173C1">
            <w:pPr>
              <w:spacing w:line="360" w:lineRule="auto"/>
              <w:jc w:val="center"/>
              <w:rPr>
                <w:b/>
              </w:rPr>
            </w:pPr>
            <w:r>
              <w:rPr>
                <w:rFonts w:hint="eastAsia"/>
                <w:b/>
              </w:rPr>
              <w:t>参数说明</w:t>
            </w:r>
          </w:p>
        </w:tc>
      </w:tr>
      <w:tr w:rsidR="00FA41E1" w:rsidTr="00674B83">
        <w:trPr>
          <w:trHeight w:val="70"/>
        </w:trPr>
        <w:tc>
          <w:tcPr>
            <w:tcW w:w="675" w:type="dxa"/>
            <w:vAlign w:val="center"/>
          </w:tcPr>
          <w:p w:rsidR="00FA41E1" w:rsidRDefault="00FA41E1" w:rsidP="00B173C1">
            <w:pPr>
              <w:spacing w:line="360" w:lineRule="auto"/>
              <w:jc w:val="center"/>
              <w:rPr>
                <w:b/>
              </w:rPr>
            </w:pPr>
            <w:r>
              <w:rPr>
                <w:b/>
              </w:rPr>
              <w:t>1</w:t>
            </w:r>
          </w:p>
        </w:tc>
        <w:tc>
          <w:tcPr>
            <w:tcW w:w="709" w:type="dxa"/>
            <w:vAlign w:val="center"/>
          </w:tcPr>
          <w:p w:rsidR="00FA41E1" w:rsidRDefault="00FA41E1" w:rsidP="00B173C1">
            <w:pPr>
              <w:spacing w:line="360" w:lineRule="auto"/>
              <w:rPr>
                <w:b/>
              </w:rPr>
            </w:pPr>
            <w:r>
              <w:rPr>
                <w:rFonts w:hint="eastAsia"/>
                <w:b/>
              </w:rPr>
              <w:t>用户角色管理</w:t>
            </w:r>
          </w:p>
        </w:tc>
        <w:tc>
          <w:tcPr>
            <w:tcW w:w="6946" w:type="dxa"/>
            <w:vAlign w:val="center"/>
          </w:tcPr>
          <w:p w:rsidR="00FA41E1" w:rsidRDefault="00FA41E1" w:rsidP="00674B83">
            <w:pPr>
              <w:jc w:val="left"/>
              <w:rPr>
                <w:szCs w:val="21"/>
              </w:rPr>
            </w:pPr>
            <w:r>
              <w:rPr>
                <w:rFonts w:hint="eastAsia"/>
                <w:szCs w:val="21"/>
              </w:rPr>
              <w:t>投标系统须支持按角色进行权限分配，如</w:t>
            </w:r>
            <w:r w:rsidR="00674B83">
              <w:rPr>
                <w:rFonts w:hint="eastAsia"/>
                <w:szCs w:val="21"/>
              </w:rPr>
              <w:t>检验科医师</w:t>
            </w:r>
            <w:r>
              <w:rPr>
                <w:rFonts w:hint="eastAsia"/>
                <w:szCs w:val="21"/>
              </w:rPr>
              <w:t>、设备管理员、库房管理员、系统管理员等，并通过具体角色的分工来体现整个系统的功能。</w:t>
            </w:r>
          </w:p>
        </w:tc>
      </w:tr>
      <w:tr w:rsidR="00A37B37" w:rsidTr="00674B83">
        <w:trPr>
          <w:trHeight w:val="70"/>
        </w:trPr>
        <w:tc>
          <w:tcPr>
            <w:tcW w:w="675" w:type="dxa"/>
            <w:vAlign w:val="center"/>
          </w:tcPr>
          <w:p w:rsidR="00A37B37" w:rsidRDefault="00A37B37" w:rsidP="00B173C1">
            <w:pPr>
              <w:spacing w:line="360" w:lineRule="auto"/>
              <w:jc w:val="center"/>
              <w:rPr>
                <w:b/>
              </w:rPr>
            </w:pPr>
            <w:r>
              <w:rPr>
                <w:rFonts w:hint="eastAsia"/>
                <w:b/>
              </w:rPr>
              <w:t>2</w:t>
            </w:r>
          </w:p>
        </w:tc>
        <w:tc>
          <w:tcPr>
            <w:tcW w:w="709" w:type="dxa"/>
            <w:vAlign w:val="center"/>
          </w:tcPr>
          <w:p w:rsidR="00A37B37" w:rsidRDefault="00A37B37" w:rsidP="00B173C1">
            <w:pPr>
              <w:spacing w:line="360" w:lineRule="auto"/>
              <w:rPr>
                <w:b/>
              </w:rPr>
            </w:pPr>
            <w:r>
              <w:rPr>
                <w:rFonts w:hint="eastAsia"/>
                <w:b/>
              </w:rPr>
              <w:t>证件管理</w:t>
            </w:r>
          </w:p>
        </w:tc>
        <w:tc>
          <w:tcPr>
            <w:tcW w:w="6946" w:type="dxa"/>
            <w:vAlign w:val="center"/>
          </w:tcPr>
          <w:p w:rsidR="00A37B37" w:rsidRDefault="00A37B37" w:rsidP="00674B83">
            <w:pPr>
              <w:jc w:val="left"/>
              <w:rPr>
                <w:szCs w:val="21"/>
              </w:rPr>
            </w:pPr>
            <w:r>
              <w:rPr>
                <w:rFonts w:hint="eastAsia"/>
                <w:szCs w:val="21"/>
              </w:rPr>
              <w:t>供货商、生产厂家相关证件管理由网络平台传输至试剂库系统。</w:t>
            </w:r>
          </w:p>
        </w:tc>
      </w:tr>
      <w:tr w:rsidR="00FA41E1" w:rsidTr="00B173C1">
        <w:tc>
          <w:tcPr>
            <w:tcW w:w="675" w:type="dxa"/>
            <w:vAlign w:val="center"/>
          </w:tcPr>
          <w:p w:rsidR="00FA41E1" w:rsidRDefault="00356D63" w:rsidP="00B173C1">
            <w:pPr>
              <w:spacing w:line="360" w:lineRule="auto"/>
              <w:jc w:val="center"/>
              <w:rPr>
                <w:b/>
              </w:rPr>
            </w:pPr>
            <w:r>
              <w:rPr>
                <w:rFonts w:hint="eastAsia"/>
                <w:b/>
              </w:rPr>
              <w:t>3</w:t>
            </w:r>
          </w:p>
        </w:tc>
        <w:tc>
          <w:tcPr>
            <w:tcW w:w="709" w:type="dxa"/>
            <w:vAlign w:val="center"/>
          </w:tcPr>
          <w:p w:rsidR="00FA41E1" w:rsidRDefault="00A851F6" w:rsidP="00B173C1">
            <w:pPr>
              <w:spacing w:line="360" w:lineRule="auto"/>
              <w:jc w:val="center"/>
              <w:rPr>
                <w:b/>
              </w:rPr>
            </w:pPr>
            <w:r>
              <w:rPr>
                <w:rFonts w:hint="eastAsia"/>
                <w:b/>
              </w:rPr>
              <w:t>出入库管理</w:t>
            </w:r>
          </w:p>
        </w:tc>
        <w:tc>
          <w:tcPr>
            <w:tcW w:w="6946" w:type="dxa"/>
            <w:vAlign w:val="center"/>
          </w:tcPr>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★支持录入试剂、耗材的出入库数据，形成出入库记录，入库时可人工选择对应的采购计划，并自动更新到货状态。 </w:t>
            </w:r>
          </w:p>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★支持使用条形码，进行扫码入库和出库，扫码入库时能自动关联对应的采购计划，并自动更新到货状态。 </w:t>
            </w:r>
          </w:p>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入库的试剂、耗材如果有效期小于30天，提醒入库操作人确认后进行入库。 </w:t>
            </w:r>
          </w:p>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★按照基于有效期、入库时间的“先进先出”原则，对出库的试剂、耗材进行检查。 </w:t>
            </w:r>
          </w:p>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对不符合要求的试剂、耗材，形成拒收记录，详细记录拒收物品的数量、品类、拒收原因等信息。 </w:t>
            </w:r>
          </w:p>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对已经领用的物品，在需要归还时，支持退还。 </w:t>
            </w:r>
          </w:p>
          <w:p w:rsidR="00A851F6"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 xml:space="preserve">★对具有新批号的物品入库时，自动提醒相关人员。 </w:t>
            </w:r>
          </w:p>
          <w:p w:rsidR="00FA41E1" w:rsidRPr="00A851F6" w:rsidRDefault="00A851F6" w:rsidP="00A851F6">
            <w:pPr>
              <w:pStyle w:val="10"/>
              <w:numPr>
                <w:ilvl w:val="0"/>
                <w:numId w:val="15"/>
              </w:numPr>
              <w:ind w:firstLineChars="0"/>
              <w:rPr>
                <w:rFonts w:ascii="宋体" w:hAnsi="宋体"/>
                <w:color w:val="000000"/>
                <w:szCs w:val="21"/>
              </w:rPr>
            </w:pPr>
            <w:r w:rsidRPr="00A851F6">
              <w:rPr>
                <w:rFonts w:ascii="宋体" w:hAnsi="宋体"/>
                <w:color w:val="000000"/>
                <w:szCs w:val="21"/>
              </w:rPr>
              <w:t>支持将出入库数据导出为Excel文件</w:t>
            </w:r>
          </w:p>
        </w:tc>
      </w:tr>
      <w:tr w:rsidR="00FA41E1" w:rsidTr="00B173C1">
        <w:tc>
          <w:tcPr>
            <w:tcW w:w="675" w:type="dxa"/>
            <w:vAlign w:val="center"/>
          </w:tcPr>
          <w:p w:rsidR="00FA41E1" w:rsidRDefault="00E05930" w:rsidP="00B173C1">
            <w:pPr>
              <w:spacing w:line="360" w:lineRule="auto"/>
              <w:jc w:val="center"/>
              <w:rPr>
                <w:b/>
              </w:rPr>
            </w:pPr>
            <w:r>
              <w:rPr>
                <w:rFonts w:hint="eastAsia"/>
                <w:b/>
              </w:rPr>
              <w:t>4</w:t>
            </w:r>
          </w:p>
        </w:tc>
        <w:tc>
          <w:tcPr>
            <w:tcW w:w="709" w:type="dxa"/>
            <w:vAlign w:val="center"/>
          </w:tcPr>
          <w:p w:rsidR="00FA41E1" w:rsidRDefault="00A851F6" w:rsidP="00B173C1">
            <w:pPr>
              <w:spacing w:line="360" w:lineRule="auto"/>
              <w:jc w:val="center"/>
              <w:rPr>
                <w:b/>
              </w:rPr>
            </w:pPr>
            <w:r w:rsidRPr="00A851F6">
              <w:rPr>
                <w:b/>
              </w:rPr>
              <w:t>库房管理</w:t>
            </w:r>
          </w:p>
        </w:tc>
        <w:tc>
          <w:tcPr>
            <w:tcW w:w="6946" w:type="dxa"/>
          </w:tcPr>
          <w:p w:rsidR="00210A96" w:rsidRPr="00210A96" w:rsidRDefault="00210A96" w:rsidP="00210A96">
            <w:pPr>
              <w:pStyle w:val="10"/>
              <w:numPr>
                <w:ilvl w:val="0"/>
                <w:numId w:val="16"/>
              </w:numPr>
              <w:ind w:firstLineChars="0"/>
              <w:rPr>
                <w:rFonts w:ascii="宋体" w:hAnsi="宋体"/>
                <w:color w:val="000000"/>
                <w:szCs w:val="21"/>
              </w:rPr>
            </w:pPr>
            <w:r w:rsidRPr="00A851F6">
              <w:rPr>
                <w:rFonts w:ascii="宋体" w:hAnsi="宋体"/>
                <w:color w:val="000000"/>
                <w:szCs w:val="21"/>
              </w:rPr>
              <w:t>★</w:t>
            </w:r>
            <w:r w:rsidRPr="00674B83">
              <w:rPr>
                <w:rFonts w:ascii="宋体" w:hAnsi="宋体" w:hint="eastAsia"/>
                <w:color w:val="000000"/>
                <w:szCs w:val="21"/>
              </w:rPr>
              <w:t>所有试剂二级库</w:t>
            </w:r>
            <w:r>
              <w:rPr>
                <w:rFonts w:ascii="宋体" w:hAnsi="宋体" w:hint="eastAsia"/>
                <w:color w:val="000000"/>
                <w:szCs w:val="21"/>
              </w:rPr>
              <w:t>基础数据</w:t>
            </w:r>
            <w:r w:rsidRPr="00674B83">
              <w:rPr>
                <w:rFonts w:ascii="宋体" w:hAnsi="宋体" w:hint="eastAsia"/>
                <w:color w:val="000000"/>
                <w:szCs w:val="21"/>
              </w:rPr>
              <w:t>字典</w:t>
            </w:r>
            <w:r>
              <w:rPr>
                <w:rFonts w:ascii="宋体" w:hAnsi="宋体" w:hint="eastAsia"/>
                <w:color w:val="000000"/>
                <w:szCs w:val="21"/>
              </w:rPr>
              <w:t>必须</w:t>
            </w:r>
            <w:r w:rsidRPr="00674B83">
              <w:rPr>
                <w:rFonts w:ascii="宋体" w:hAnsi="宋体" w:hint="eastAsia"/>
                <w:color w:val="000000"/>
                <w:szCs w:val="21"/>
              </w:rPr>
              <w:t>统一使用中心库房的基础数据字典（包含物资</w:t>
            </w:r>
            <w:r w:rsidRPr="00674B83">
              <w:rPr>
                <w:rFonts w:ascii="宋体" w:hAnsi="宋体"/>
                <w:color w:val="000000"/>
                <w:szCs w:val="21"/>
              </w:rPr>
              <w:t>名称字典、</w:t>
            </w:r>
            <w:r w:rsidRPr="00674B83">
              <w:rPr>
                <w:rFonts w:ascii="宋体" w:hAnsi="宋体" w:hint="eastAsia"/>
                <w:color w:val="000000"/>
                <w:szCs w:val="21"/>
              </w:rPr>
              <w:t>单价</w:t>
            </w:r>
            <w:r w:rsidRPr="00674B83">
              <w:rPr>
                <w:rFonts w:ascii="宋体" w:hAnsi="宋体"/>
                <w:color w:val="000000"/>
                <w:szCs w:val="21"/>
              </w:rPr>
              <w:t>、</w:t>
            </w:r>
            <w:r w:rsidRPr="00674B83">
              <w:rPr>
                <w:rFonts w:ascii="宋体" w:hAnsi="宋体" w:hint="eastAsia"/>
                <w:color w:val="000000"/>
                <w:szCs w:val="21"/>
              </w:rPr>
              <w:t>产地</w:t>
            </w:r>
            <w:r w:rsidRPr="00674B83">
              <w:rPr>
                <w:rFonts w:ascii="宋体" w:hAnsi="宋体"/>
                <w:color w:val="000000"/>
                <w:szCs w:val="21"/>
              </w:rPr>
              <w:t>字典、供货商</w:t>
            </w:r>
            <w:r w:rsidRPr="00674B83">
              <w:rPr>
                <w:rFonts w:ascii="宋体" w:hAnsi="宋体" w:hint="eastAsia"/>
                <w:color w:val="000000"/>
                <w:szCs w:val="21"/>
              </w:rPr>
              <w:t>生产厂家</w:t>
            </w:r>
            <w:r w:rsidRPr="00674B83">
              <w:rPr>
                <w:rFonts w:ascii="宋体" w:hAnsi="宋体"/>
                <w:color w:val="000000"/>
                <w:szCs w:val="21"/>
              </w:rPr>
              <w:t>字典、品牌字典、科室、人员字典等等</w:t>
            </w:r>
            <w:r w:rsidRPr="00674B83">
              <w:rPr>
                <w:rFonts w:ascii="宋体" w:hAnsi="宋体" w:hint="eastAsia"/>
                <w:color w:val="000000"/>
                <w:szCs w:val="21"/>
              </w:rPr>
              <w:t>），并可根据不同</w:t>
            </w:r>
            <w:r>
              <w:rPr>
                <w:rFonts w:ascii="宋体" w:hAnsi="宋体" w:hint="eastAsia"/>
                <w:color w:val="000000"/>
                <w:szCs w:val="21"/>
              </w:rPr>
              <w:t>耗材属性根据</w:t>
            </w:r>
            <w:r w:rsidRPr="00674B83">
              <w:rPr>
                <w:rFonts w:ascii="宋体" w:hAnsi="宋体" w:hint="eastAsia"/>
                <w:color w:val="000000"/>
                <w:szCs w:val="21"/>
              </w:rPr>
              <w:t>实际需要设置其物资管理的具体范围</w:t>
            </w:r>
            <w:r>
              <w:rPr>
                <w:rFonts w:ascii="宋体" w:hAnsi="宋体" w:hint="eastAsia"/>
                <w:color w:val="000000"/>
                <w:szCs w:val="21"/>
              </w:rPr>
              <w:t>。</w:t>
            </w:r>
          </w:p>
          <w:p w:rsidR="00A851F6" w:rsidRPr="00A851F6" w:rsidRDefault="00A851F6" w:rsidP="00210A96">
            <w:pPr>
              <w:pStyle w:val="10"/>
              <w:numPr>
                <w:ilvl w:val="0"/>
                <w:numId w:val="16"/>
              </w:numPr>
              <w:ind w:firstLineChars="0"/>
              <w:rPr>
                <w:rFonts w:ascii="宋体" w:hAnsi="宋体"/>
                <w:color w:val="000000"/>
                <w:szCs w:val="21"/>
              </w:rPr>
            </w:pPr>
            <w:r w:rsidRPr="00A851F6">
              <w:rPr>
                <w:rFonts w:ascii="宋体" w:hAnsi="宋体"/>
                <w:color w:val="000000"/>
                <w:szCs w:val="21"/>
              </w:rPr>
              <w:t xml:space="preserve">对库存信息进行查询、提供包括名称、批号、有效期，供应商等多种查询条件。 </w:t>
            </w:r>
          </w:p>
          <w:p w:rsidR="00A851F6" w:rsidRPr="00A851F6" w:rsidRDefault="00A851F6" w:rsidP="00210A96">
            <w:pPr>
              <w:pStyle w:val="10"/>
              <w:numPr>
                <w:ilvl w:val="0"/>
                <w:numId w:val="16"/>
              </w:numPr>
              <w:ind w:firstLineChars="0"/>
              <w:rPr>
                <w:rFonts w:ascii="宋体" w:hAnsi="宋体"/>
                <w:color w:val="000000"/>
                <w:szCs w:val="21"/>
              </w:rPr>
            </w:pPr>
            <w:r w:rsidRPr="00A851F6">
              <w:rPr>
                <w:rFonts w:ascii="宋体" w:hAnsi="宋体"/>
                <w:color w:val="000000"/>
                <w:szCs w:val="21"/>
              </w:rPr>
              <w:t xml:space="preserve">对低于有效期预警阀值，以及超出有效期的试剂、耗材，进行预警通知。 </w:t>
            </w:r>
          </w:p>
          <w:p w:rsidR="00A851F6" w:rsidRPr="00210A96" w:rsidRDefault="00A851F6" w:rsidP="00210A96">
            <w:pPr>
              <w:pStyle w:val="10"/>
              <w:numPr>
                <w:ilvl w:val="0"/>
                <w:numId w:val="16"/>
              </w:numPr>
              <w:ind w:firstLineChars="0"/>
              <w:rPr>
                <w:rFonts w:ascii="宋体" w:hAnsi="宋体"/>
                <w:color w:val="000000"/>
                <w:szCs w:val="21"/>
              </w:rPr>
            </w:pPr>
            <w:r w:rsidRPr="00A851F6">
              <w:rPr>
                <w:rFonts w:ascii="宋体" w:hAnsi="宋体"/>
                <w:color w:val="000000"/>
                <w:szCs w:val="21"/>
              </w:rPr>
              <w:t>对低于安全库存量的试剂、耗材进行预警通知。</w:t>
            </w:r>
            <w:r w:rsidR="00210A96">
              <w:rPr>
                <w:rFonts w:ascii="宋体" w:hAnsi="宋体" w:hint="eastAsia"/>
                <w:color w:val="000000"/>
                <w:szCs w:val="21"/>
              </w:rPr>
              <w:t>提供多种自动试剂自动采购补货的推荐采购功能；</w:t>
            </w:r>
          </w:p>
          <w:p w:rsidR="00A851F6" w:rsidRPr="00A851F6" w:rsidRDefault="00A851F6" w:rsidP="00210A96">
            <w:pPr>
              <w:pStyle w:val="10"/>
              <w:numPr>
                <w:ilvl w:val="0"/>
                <w:numId w:val="16"/>
              </w:numPr>
              <w:ind w:firstLineChars="0"/>
              <w:rPr>
                <w:rFonts w:ascii="宋体" w:hAnsi="宋体"/>
                <w:color w:val="000000"/>
                <w:szCs w:val="21"/>
              </w:rPr>
            </w:pPr>
            <w:r w:rsidRPr="00A851F6">
              <w:rPr>
                <w:rFonts w:ascii="宋体" w:hAnsi="宋体"/>
                <w:color w:val="000000"/>
                <w:szCs w:val="21"/>
              </w:rPr>
              <w:t xml:space="preserve">对试剂、耗材信息进行条码打印，条码打印功能同时支持为每个试剂、耗材分配唯一的条码和相同批次试剂、耗材分配同一条码两种模式。 </w:t>
            </w:r>
          </w:p>
          <w:p w:rsidR="00A851F6" w:rsidRPr="00A851F6" w:rsidRDefault="00210A96" w:rsidP="00210A96">
            <w:pPr>
              <w:pStyle w:val="10"/>
              <w:numPr>
                <w:ilvl w:val="0"/>
                <w:numId w:val="16"/>
              </w:numPr>
              <w:ind w:firstLineChars="0"/>
              <w:rPr>
                <w:rFonts w:ascii="宋体" w:hAnsi="宋体"/>
                <w:color w:val="000000"/>
                <w:szCs w:val="21"/>
              </w:rPr>
            </w:pPr>
            <w:r>
              <w:rPr>
                <w:rFonts w:ascii="宋体" w:hAnsi="宋体" w:hint="eastAsia"/>
                <w:color w:val="000000"/>
                <w:szCs w:val="21"/>
              </w:rPr>
              <w:t>支持</w:t>
            </w:r>
            <w:r w:rsidR="00A851F6" w:rsidRPr="00A851F6">
              <w:rPr>
                <w:rFonts w:ascii="宋体" w:hAnsi="宋体"/>
                <w:color w:val="000000"/>
                <w:szCs w:val="21"/>
              </w:rPr>
              <w:t xml:space="preserve">对已经入库的物品，进行退货处理 </w:t>
            </w:r>
          </w:p>
          <w:p w:rsidR="00A851F6" w:rsidRPr="00A851F6" w:rsidRDefault="00210A96" w:rsidP="00210A96">
            <w:pPr>
              <w:pStyle w:val="10"/>
              <w:numPr>
                <w:ilvl w:val="0"/>
                <w:numId w:val="16"/>
              </w:numPr>
              <w:ind w:firstLineChars="0"/>
              <w:rPr>
                <w:rFonts w:ascii="宋体" w:hAnsi="宋体"/>
                <w:color w:val="000000"/>
                <w:szCs w:val="21"/>
              </w:rPr>
            </w:pPr>
            <w:r>
              <w:rPr>
                <w:rFonts w:ascii="宋体" w:hAnsi="宋体" w:hint="eastAsia"/>
                <w:color w:val="000000"/>
                <w:szCs w:val="21"/>
              </w:rPr>
              <w:t>支持</w:t>
            </w:r>
            <w:r w:rsidR="00A851F6" w:rsidRPr="00A851F6">
              <w:rPr>
                <w:rFonts w:ascii="宋体" w:hAnsi="宋体"/>
                <w:color w:val="000000"/>
                <w:szCs w:val="21"/>
              </w:rPr>
              <w:t xml:space="preserve">对需要进行报损的试剂、耗材等进行报损处理。 </w:t>
            </w:r>
          </w:p>
          <w:p w:rsidR="00FA41E1" w:rsidRPr="00210A96" w:rsidRDefault="00A851F6" w:rsidP="00210A96">
            <w:pPr>
              <w:pStyle w:val="10"/>
              <w:numPr>
                <w:ilvl w:val="0"/>
                <w:numId w:val="16"/>
              </w:numPr>
              <w:ind w:firstLineChars="0"/>
              <w:rPr>
                <w:rFonts w:ascii="宋体" w:hAnsi="宋体"/>
                <w:color w:val="000000"/>
                <w:szCs w:val="21"/>
              </w:rPr>
            </w:pPr>
            <w:r w:rsidRPr="00A851F6">
              <w:rPr>
                <w:rFonts w:ascii="宋体" w:hAnsi="宋体"/>
                <w:color w:val="000000"/>
                <w:szCs w:val="21"/>
              </w:rPr>
              <w:t xml:space="preserve">具备盘点功能，能自动根据盘点结果处理盘亏或盘盈的库存。 </w:t>
            </w:r>
          </w:p>
        </w:tc>
      </w:tr>
      <w:tr w:rsidR="00FA41E1" w:rsidTr="00B173C1">
        <w:tc>
          <w:tcPr>
            <w:tcW w:w="675" w:type="dxa"/>
            <w:vAlign w:val="center"/>
          </w:tcPr>
          <w:p w:rsidR="00FA41E1" w:rsidRDefault="00E05930" w:rsidP="00B173C1">
            <w:pPr>
              <w:spacing w:line="360" w:lineRule="auto"/>
              <w:jc w:val="center"/>
              <w:rPr>
                <w:b/>
              </w:rPr>
            </w:pPr>
            <w:r>
              <w:rPr>
                <w:rFonts w:hint="eastAsia"/>
                <w:b/>
              </w:rPr>
              <w:t>5</w:t>
            </w:r>
          </w:p>
        </w:tc>
        <w:tc>
          <w:tcPr>
            <w:tcW w:w="709" w:type="dxa"/>
            <w:vAlign w:val="center"/>
          </w:tcPr>
          <w:p w:rsidR="00FA41E1" w:rsidRDefault="00210A96" w:rsidP="00B173C1">
            <w:pPr>
              <w:spacing w:line="360" w:lineRule="auto"/>
              <w:jc w:val="center"/>
              <w:rPr>
                <w:b/>
              </w:rPr>
            </w:pPr>
            <w:r w:rsidRPr="00210A96">
              <w:rPr>
                <w:rFonts w:hint="eastAsia"/>
                <w:b/>
              </w:rPr>
              <w:t>采购</w:t>
            </w:r>
            <w:r w:rsidRPr="00210A96">
              <w:rPr>
                <w:rFonts w:hint="eastAsia"/>
                <w:b/>
              </w:rPr>
              <w:lastRenderedPageBreak/>
              <w:t>管理</w:t>
            </w:r>
          </w:p>
        </w:tc>
        <w:tc>
          <w:tcPr>
            <w:tcW w:w="6946" w:type="dxa"/>
            <w:vAlign w:val="center"/>
          </w:tcPr>
          <w:p w:rsidR="00210A96" w:rsidRPr="00210A96" w:rsidRDefault="00210A96" w:rsidP="00210A96">
            <w:pPr>
              <w:pStyle w:val="10"/>
              <w:numPr>
                <w:ilvl w:val="0"/>
                <w:numId w:val="17"/>
              </w:numPr>
              <w:ind w:firstLineChars="0"/>
              <w:rPr>
                <w:rFonts w:ascii="宋体" w:hAnsi="宋体"/>
                <w:color w:val="000000"/>
                <w:szCs w:val="21"/>
              </w:rPr>
            </w:pPr>
            <w:r w:rsidRPr="00210A96">
              <w:rPr>
                <w:rFonts w:ascii="宋体" w:hAnsi="宋体"/>
                <w:color w:val="000000"/>
                <w:szCs w:val="21"/>
              </w:rPr>
              <w:lastRenderedPageBreak/>
              <w:t>★具有专业组提交申购计划的功能</w:t>
            </w:r>
            <w:r w:rsidR="00356D63">
              <w:rPr>
                <w:rFonts w:ascii="宋体" w:hAnsi="宋体" w:hint="eastAsia"/>
                <w:color w:val="000000"/>
                <w:szCs w:val="21"/>
              </w:rPr>
              <w:t>，包括月计划、周计划</w:t>
            </w:r>
            <w:r w:rsidRPr="00210A96">
              <w:rPr>
                <w:rFonts w:ascii="宋体" w:hAnsi="宋体"/>
                <w:color w:val="000000"/>
                <w:szCs w:val="21"/>
              </w:rPr>
              <w:t xml:space="preserve">。 </w:t>
            </w:r>
          </w:p>
          <w:p w:rsidR="00210A96" w:rsidRPr="002C19CF" w:rsidRDefault="00210A96" w:rsidP="002C19CF">
            <w:pPr>
              <w:pStyle w:val="10"/>
              <w:numPr>
                <w:ilvl w:val="0"/>
                <w:numId w:val="17"/>
              </w:numPr>
              <w:ind w:firstLineChars="0"/>
              <w:rPr>
                <w:rFonts w:ascii="宋体" w:hAnsi="宋体"/>
                <w:color w:val="000000"/>
                <w:szCs w:val="21"/>
              </w:rPr>
            </w:pPr>
            <w:r w:rsidRPr="00210A96">
              <w:rPr>
                <w:rFonts w:ascii="宋体" w:hAnsi="宋体"/>
                <w:color w:val="000000"/>
                <w:szCs w:val="21"/>
              </w:rPr>
              <w:lastRenderedPageBreak/>
              <w:t>★</w:t>
            </w:r>
            <w:r w:rsidR="002C19CF" w:rsidRPr="00674B83">
              <w:rPr>
                <w:rFonts w:ascii="宋体" w:hAnsi="宋体" w:hint="eastAsia"/>
                <w:color w:val="000000"/>
                <w:szCs w:val="21"/>
              </w:rPr>
              <w:t>按照各个实验室</w:t>
            </w:r>
            <w:r w:rsidR="002C19CF" w:rsidRPr="00674B83">
              <w:rPr>
                <w:rFonts w:ascii="宋体" w:hAnsi="宋体"/>
                <w:color w:val="000000"/>
                <w:szCs w:val="21"/>
              </w:rPr>
              <w:t>专业组的申购到</w:t>
            </w:r>
            <w:r w:rsidR="00356D63">
              <w:rPr>
                <w:rFonts w:ascii="宋体" w:hAnsi="宋体" w:hint="eastAsia"/>
                <w:color w:val="000000"/>
                <w:szCs w:val="21"/>
              </w:rPr>
              <w:t>设备科汇总审核再由</w:t>
            </w:r>
            <w:r w:rsidR="002C19CF" w:rsidRPr="00674B83">
              <w:rPr>
                <w:rFonts w:ascii="宋体" w:hAnsi="宋体"/>
                <w:color w:val="000000"/>
                <w:szCs w:val="21"/>
              </w:rPr>
              <w:t>采购中心</w:t>
            </w:r>
            <w:r w:rsidR="00356D63">
              <w:rPr>
                <w:rFonts w:ascii="宋体" w:hAnsi="宋体" w:hint="eastAsia"/>
                <w:color w:val="000000"/>
                <w:szCs w:val="21"/>
              </w:rPr>
              <w:t>采购</w:t>
            </w:r>
            <w:r w:rsidR="00552923">
              <w:rPr>
                <w:rFonts w:ascii="宋体" w:hAnsi="宋体" w:hint="eastAsia"/>
                <w:color w:val="000000"/>
                <w:szCs w:val="21"/>
              </w:rPr>
              <w:t>（包括月计划，周计划</w:t>
            </w:r>
            <w:r w:rsidR="008344ED">
              <w:rPr>
                <w:rFonts w:ascii="宋体" w:hAnsi="宋体" w:hint="eastAsia"/>
                <w:color w:val="000000"/>
                <w:szCs w:val="21"/>
              </w:rPr>
              <w:t>，临时采购</w:t>
            </w:r>
            <w:r w:rsidR="00552923">
              <w:rPr>
                <w:rFonts w:ascii="宋体" w:hAnsi="宋体" w:hint="eastAsia"/>
                <w:color w:val="000000"/>
                <w:szCs w:val="21"/>
              </w:rPr>
              <w:t>）</w:t>
            </w:r>
            <w:r w:rsidR="002C19CF" w:rsidRPr="00674B83">
              <w:rPr>
                <w:rFonts w:ascii="宋体" w:hAnsi="宋体"/>
                <w:color w:val="000000"/>
                <w:szCs w:val="21"/>
              </w:rPr>
              <w:t>，并同步到医院现有的外网供应商</w:t>
            </w:r>
            <w:r w:rsidR="002C19CF" w:rsidRPr="00674B83">
              <w:rPr>
                <w:rFonts w:ascii="宋体" w:hAnsi="宋体" w:hint="eastAsia"/>
                <w:color w:val="000000"/>
                <w:szCs w:val="21"/>
              </w:rPr>
              <w:t>采购</w:t>
            </w:r>
            <w:r w:rsidR="002C19CF" w:rsidRPr="00674B83">
              <w:rPr>
                <w:rFonts w:ascii="宋体" w:hAnsi="宋体"/>
                <w:color w:val="000000"/>
                <w:szCs w:val="21"/>
              </w:rPr>
              <w:t>云平台</w:t>
            </w:r>
            <w:r w:rsidR="002C19CF" w:rsidRPr="00674B83">
              <w:rPr>
                <w:rFonts w:ascii="宋体" w:hAnsi="宋体" w:hint="eastAsia"/>
                <w:color w:val="000000"/>
                <w:szCs w:val="21"/>
              </w:rPr>
              <w:t>，</w:t>
            </w:r>
            <w:r w:rsidR="002C19CF" w:rsidRPr="00674B83">
              <w:rPr>
                <w:rFonts w:ascii="宋体" w:hAnsi="宋体"/>
                <w:color w:val="000000"/>
                <w:szCs w:val="21"/>
              </w:rPr>
              <w:t>进行管理的采购审批管理</w:t>
            </w:r>
            <w:r w:rsidR="002C19CF">
              <w:rPr>
                <w:rFonts w:ascii="宋体" w:hAnsi="宋体" w:hint="eastAsia"/>
                <w:color w:val="000000"/>
                <w:szCs w:val="21"/>
              </w:rPr>
              <w:t>。</w:t>
            </w:r>
          </w:p>
          <w:p w:rsidR="00210A96" w:rsidRPr="00210A96" w:rsidRDefault="00210A96" w:rsidP="00210A96">
            <w:pPr>
              <w:pStyle w:val="10"/>
              <w:numPr>
                <w:ilvl w:val="0"/>
                <w:numId w:val="17"/>
              </w:numPr>
              <w:ind w:firstLineChars="0"/>
              <w:rPr>
                <w:rFonts w:ascii="宋体" w:hAnsi="宋体"/>
                <w:color w:val="000000"/>
                <w:szCs w:val="21"/>
              </w:rPr>
            </w:pPr>
            <w:r w:rsidRPr="00210A96">
              <w:rPr>
                <w:rFonts w:ascii="宋体" w:hAnsi="宋体"/>
                <w:color w:val="000000"/>
                <w:szCs w:val="21"/>
              </w:rPr>
              <w:t xml:space="preserve">申购计划能和采购计划设定要求到货日期。 </w:t>
            </w:r>
          </w:p>
          <w:p w:rsidR="00210A96" w:rsidRPr="00210A96" w:rsidRDefault="00210A96" w:rsidP="00210A96">
            <w:pPr>
              <w:pStyle w:val="10"/>
              <w:numPr>
                <w:ilvl w:val="0"/>
                <w:numId w:val="17"/>
              </w:numPr>
              <w:ind w:firstLineChars="0"/>
              <w:rPr>
                <w:rFonts w:ascii="宋体" w:hAnsi="宋体"/>
                <w:color w:val="000000"/>
                <w:szCs w:val="21"/>
              </w:rPr>
            </w:pPr>
            <w:r w:rsidRPr="00210A96">
              <w:rPr>
                <w:rFonts w:ascii="宋体" w:hAnsi="宋体"/>
                <w:color w:val="000000"/>
                <w:szCs w:val="21"/>
              </w:rPr>
              <w:t xml:space="preserve">支持供应商上传公司资质、供货试剂、耗材相关的证书，例如注册证、质检报告、批检报告等。 </w:t>
            </w:r>
          </w:p>
          <w:p w:rsidR="00FA41E1" w:rsidRPr="005C368B" w:rsidRDefault="00210A96" w:rsidP="00210A96">
            <w:pPr>
              <w:pStyle w:val="10"/>
              <w:numPr>
                <w:ilvl w:val="0"/>
                <w:numId w:val="17"/>
              </w:numPr>
              <w:ind w:firstLineChars="0"/>
              <w:rPr>
                <w:rFonts w:hint="eastAsia"/>
              </w:rPr>
            </w:pPr>
            <w:r w:rsidRPr="00210A96">
              <w:rPr>
                <w:rFonts w:ascii="宋体" w:hAnsi="宋体"/>
                <w:color w:val="000000"/>
                <w:szCs w:val="21"/>
              </w:rPr>
              <w:t>支持将采购计划的数据导出为Excel文件</w:t>
            </w:r>
            <w:r w:rsidR="005C368B">
              <w:rPr>
                <w:rFonts w:ascii="宋体" w:hAnsi="宋体" w:hint="eastAsia"/>
                <w:color w:val="000000"/>
                <w:szCs w:val="21"/>
              </w:rPr>
              <w:t>。</w:t>
            </w:r>
          </w:p>
          <w:p w:rsidR="005C368B" w:rsidRPr="00210A96" w:rsidRDefault="005C368B" w:rsidP="00210A96">
            <w:pPr>
              <w:pStyle w:val="10"/>
              <w:numPr>
                <w:ilvl w:val="0"/>
                <w:numId w:val="17"/>
              </w:numPr>
              <w:ind w:firstLineChars="0"/>
            </w:pPr>
            <w:r>
              <w:rPr>
                <w:rFonts w:ascii="宋体" w:hAnsi="宋体" w:hint="eastAsia"/>
                <w:color w:val="000000"/>
                <w:szCs w:val="21"/>
              </w:rPr>
              <w:t>与浙江省药械</w:t>
            </w:r>
            <w:r w:rsidR="003F77A6">
              <w:rPr>
                <w:rFonts w:ascii="宋体" w:hAnsi="宋体" w:hint="eastAsia"/>
                <w:color w:val="000000"/>
                <w:szCs w:val="21"/>
              </w:rPr>
              <w:t>采购</w:t>
            </w:r>
            <w:r>
              <w:rPr>
                <w:rFonts w:ascii="宋体" w:hAnsi="宋体" w:hint="eastAsia"/>
                <w:color w:val="000000"/>
                <w:szCs w:val="21"/>
              </w:rPr>
              <w:t>平台完成数据对接。</w:t>
            </w:r>
          </w:p>
        </w:tc>
      </w:tr>
      <w:tr w:rsidR="00FA41E1" w:rsidTr="00B173C1">
        <w:trPr>
          <w:trHeight w:val="390"/>
        </w:trPr>
        <w:tc>
          <w:tcPr>
            <w:tcW w:w="675" w:type="dxa"/>
            <w:vAlign w:val="center"/>
          </w:tcPr>
          <w:p w:rsidR="00FA41E1" w:rsidRDefault="00E05930" w:rsidP="00B173C1">
            <w:pPr>
              <w:spacing w:line="360" w:lineRule="auto"/>
              <w:jc w:val="center"/>
              <w:rPr>
                <w:b/>
              </w:rPr>
            </w:pPr>
            <w:r>
              <w:rPr>
                <w:rFonts w:hint="eastAsia"/>
                <w:b/>
              </w:rPr>
              <w:lastRenderedPageBreak/>
              <w:t>6</w:t>
            </w:r>
          </w:p>
        </w:tc>
        <w:tc>
          <w:tcPr>
            <w:tcW w:w="709" w:type="dxa"/>
            <w:vAlign w:val="center"/>
          </w:tcPr>
          <w:p w:rsidR="00FA41E1" w:rsidRDefault="00210A96" w:rsidP="00B173C1">
            <w:pPr>
              <w:spacing w:line="360" w:lineRule="auto"/>
              <w:jc w:val="center"/>
              <w:rPr>
                <w:b/>
              </w:rPr>
            </w:pPr>
            <w:r w:rsidRPr="00210A96">
              <w:rPr>
                <w:b/>
              </w:rPr>
              <w:t>统计分析</w:t>
            </w:r>
          </w:p>
        </w:tc>
        <w:tc>
          <w:tcPr>
            <w:tcW w:w="6946" w:type="dxa"/>
            <w:vAlign w:val="center"/>
          </w:tcPr>
          <w:p w:rsidR="00210A96" w:rsidRPr="00210A96" w:rsidRDefault="00210A96" w:rsidP="00210A96">
            <w:pPr>
              <w:pStyle w:val="10"/>
              <w:numPr>
                <w:ilvl w:val="0"/>
                <w:numId w:val="18"/>
              </w:numPr>
              <w:ind w:firstLineChars="0"/>
              <w:rPr>
                <w:rFonts w:ascii="宋体" w:hAnsi="宋体"/>
                <w:color w:val="000000"/>
                <w:szCs w:val="21"/>
              </w:rPr>
            </w:pPr>
            <w:r w:rsidRPr="00210A96">
              <w:rPr>
                <w:rFonts w:ascii="宋体" w:hAnsi="宋体"/>
                <w:color w:val="000000"/>
                <w:szCs w:val="21"/>
              </w:rPr>
              <w:t xml:space="preserve">以月报的形式，统计各类物品的采购量，包含同比、环比指标，并以图形和表格的形式进行展现。 </w:t>
            </w:r>
          </w:p>
          <w:p w:rsidR="00210A96" w:rsidRPr="00210A96" w:rsidRDefault="00210A96" w:rsidP="00210A96">
            <w:pPr>
              <w:pStyle w:val="10"/>
              <w:numPr>
                <w:ilvl w:val="0"/>
                <w:numId w:val="18"/>
              </w:numPr>
              <w:ind w:firstLineChars="0"/>
              <w:rPr>
                <w:rFonts w:ascii="宋体" w:hAnsi="宋体"/>
                <w:color w:val="000000"/>
                <w:szCs w:val="21"/>
              </w:rPr>
            </w:pPr>
            <w:r w:rsidRPr="00210A96">
              <w:rPr>
                <w:rFonts w:ascii="宋体" w:hAnsi="宋体"/>
                <w:color w:val="000000"/>
                <w:szCs w:val="21"/>
              </w:rPr>
              <w:t xml:space="preserve">以月报的形式，统计各类物品的出库量，包含同比、环比指标，并以图形和表格的形式进行展现。 </w:t>
            </w:r>
          </w:p>
          <w:p w:rsidR="00210A96" w:rsidRPr="00210A96" w:rsidRDefault="00210A96" w:rsidP="00210A96">
            <w:pPr>
              <w:pStyle w:val="10"/>
              <w:numPr>
                <w:ilvl w:val="0"/>
                <w:numId w:val="18"/>
              </w:numPr>
              <w:ind w:firstLineChars="0"/>
              <w:rPr>
                <w:rFonts w:ascii="宋体" w:hAnsi="宋体"/>
                <w:color w:val="000000"/>
                <w:szCs w:val="21"/>
              </w:rPr>
            </w:pPr>
            <w:r w:rsidRPr="00210A96">
              <w:rPr>
                <w:rFonts w:ascii="宋体" w:hAnsi="宋体"/>
                <w:color w:val="000000"/>
                <w:szCs w:val="21"/>
              </w:rPr>
              <w:t xml:space="preserve">详细统计各物品在某一期间的出入库明细。 </w:t>
            </w:r>
          </w:p>
          <w:p w:rsidR="00FA41E1" w:rsidRPr="00210A96" w:rsidRDefault="00210A96" w:rsidP="00210A96">
            <w:pPr>
              <w:pStyle w:val="10"/>
              <w:numPr>
                <w:ilvl w:val="0"/>
                <w:numId w:val="18"/>
              </w:numPr>
              <w:ind w:firstLineChars="0"/>
              <w:rPr>
                <w:rFonts w:ascii="宋体" w:hAnsi="宋体"/>
                <w:color w:val="000000"/>
                <w:szCs w:val="21"/>
              </w:rPr>
            </w:pPr>
            <w:r w:rsidRPr="00210A96">
              <w:rPr>
                <w:rFonts w:ascii="宋体" w:hAnsi="宋体"/>
                <w:color w:val="000000"/>
                <w:szCs w:val="21"/>
              </w:rPr>
              <w:t>按照各种</w:t>
            </w:r>
            <w:bookmarkStart w:id="0" w:name="_GoBack"/>
            <w:bookmarkEnd w:id="0"/>
            <w:r w:rsidRPr="00210A96">
              <w:rPr>
                <w:rFonts w:ascii="宋体" w:hAnsi="宋体"/>
                <w:color w:val="000000"/>
                <w:szCs w:val="21"/>
              </w:rPr>
              <w:t xml:space="preserve">自定义项进行使用成本统计，包括按照检验项目，检验仪器等方式统计。 </w:t>
            </w:r>
          </w:p>
        </w:tc>
      </w:tr>
      <w:tr w:rsidR="00FA41E1" w:rsidTr="00B173C1">
        <w:trPr>
          <w:trHeight w:val="390"/>
        </w:trPr>
        <w:tc>
          <w:tcPr>
            <w:tcW w:w="675" w:type="dxa"/>
            <w:vAlign w:val="center"/>
          </w:tcPr>
          <w:p w:rsidR="00FA41E1" w:rsidRDefault="00E05930" w:rsidP="00B173C1">
            <w:pPr>
              <w:spacing w:line="360" w:lineRule="auto"/>
              <w:jc w:val="center"/>
              <w:rPr>
                <w:b/>
              </w:rPr>
            </w:pPr>
            <w:r>
              <w:rPr>
                <w:rFonts w:hint="eastAsia"/>
                <w:b/>
              </w:rPr>
              <w:t>7</w:t>
            </w:r>
          </w:p>
        </w:tc>
        <w:tc>
          <w:tcPr>
            <w:tcW w:w="709" w:type="dxa"/>
            <w:vAlign w:val="center"/>
          </w:tcPr>
          <w:p w:rsidR="00FA41E1" w:rsidRDefault="002C19CF" w:rsidP="00B173C1">
            <w:pPr>
              <w:spacing w:line="360" w:lineRule="auto"/>
              <w:jc w:val="center"/>
              <w:rPr>
                <w:b/>
              </w:rPr>
            </w:pPr>
            <w:r>
              <w:rPr>
                <w:rFonts w:hint="eastAsia"/>
                <w:b/>
              </w:rPr>
              <w:t>数据</w:t>
            </w:r>
            <w:r w:rsidR="00FA41E1">
              <w:rPr>
                <w:rFonts w:hint="eastAsia"/>
                <w:b/>
              </w:rPr>
              <w:t>集成与接口</w:t>
            </w:r>
          </w:p>
        </w:tc>
        <w:tc>
          <w:tcPr>
            <w:tcW w:w="6946" w:type="dxa"/>
            <w:vAlign w:val="center"/>
          </w:tcPr>
          <w:p w:rsidR="00FC400F" w:rsidRDefault="00FC400F" w:rsidP="00FA41E1">
            <w:pPr>
              <w:pStyle w:val="10"/>
              <w:numPr>
                <w:ilvl w:val="0"/>
                <w:numId w:val="13"/>
              </w:numPr>
              <w:ind w:firstLineChars="0"/>
            </w:pPr>
            <w:r>
              <w:rPr>
                <w:rFonts w:hint="eastAsia"/>
              </w:rPr>
              <w:t>试剂基础字典可由外网供应商耗材采购云平台采集传输至内网。</w:t>
            </w:r>
          </w:p>
          <w:p w:rsidR="00FA41E1" w:rsidRDefault="00210A96" w:rsidP="00FA41E1">
            <w:pPr>
              <w:pStyle w:val="10"/>
              <w:numPr>
                <w:ilvl w:val="0"/>
                <w:numId w:val="13"/>
              </w:numPr>
              <w:ind w:firstLineChars="0"/>
            </w:pPr>
            <w:r>
              <w:rPr>
                <w:rFonts w:hint="eastAsia"/>
              </w:rPr>
              <w:t>试剂基础字典与医院中心库房系统的基础</w:t>
            </w:r>
            <w:r w:rsidR="002C19CF">
              <w:rPr>
                <w:rFonts w:hint="eastAsia"/>
              </w:rPr>
              <w:t>数据对接</w:t>
            </w:r>
            <w:r>
              <w:rPr>
                <w:rFonts w:hint="eastAsia"/>
              </w:rPr>
              <w:t>。</w:t>
            </w:r>
          </w:p>
          <w:p w:rsidR="00FA41E1" w:rsidRDefault="002C19CF" w:rsidP="00FA41E1">
            <w:pPr>
              <w:pStyle w:val="10"/>
              <w:numPr>
                <w:ilvl w:val="0"/>
                <w:numId w:val="13"/>
              </w:numPr>
              <w:ind w:firstLineChars="0"/>
            </w:pPr>
            <w:r>
              <w:rPr>
                <w:rFonts w:hint="eastAsia"/>
              </w:rPr>
              <w:t>院内试剂采购订单与外网供应商耗材采购云平台的接口。</w:t>
            </w:r>
          </w:p>
          <w:p w:rsidR="005C2D27" w:rsidRDefault="005C2D27" w:rsidP="00FA41E1">
            <w:pPr>
              <w:pStyle w:val="10"/>
              <w:numPr>
                <w:ilvl w:val="0"/>
                <w:numId w:val="13"/>
              </w:numPr>
              <w:ind w:firstLineChars="0"/>
            </w:pPr>
            <w:r>
              <w:rPr>
                <w:rFonts w:hint="eastAsia"/>
                <w:kern w:val="0"/>
              </w:rPr>
              <w:t>试剂库需与供货商的冷库系统预留接口，从冷库系统中取数据并以在试剂库系统中以曲线图表现出及可供用户定义查询。</w:t>
            </w:r>
          </w:p>
        </w:tc>
      </w:tr>
    </w:tbl>
    <w:p w:rsidR="00FA41E1" w:rsidRDefault="00FA41E1" w:rsidP="00FA41E1">
      <w:pPr>
        <w:spacing w:line="360" w:lineRule="auto"/>
        <w:rPr>
          <w:bCs/>
        </w:rPr>
      </w:pPr>
    </w:p>
    <w:p w:rsidR="00FA41E1" w:rsidRDefault="00FA41E1" w:rsidP="00FA41E1"/>
    <w:p w:rsidR="00EA052C" w:rsidRPr="005C2D27" w:rsidRDefault="00EA052C"/>
    <w:sectPr w:rsidR="00EA052C" w:rsidRPr="005C2D27" w:rsidSect="001C7F1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4D" w:rsidRDefault="00E71F4D" w:rsidP="00FA41E1">
      <w:r>
        <w:separator/>
      </w:r>
    </w:p>
  </w:endnote>
  <w:endnote w:type="continuationSeparator" w:id="1">
    <w:p w:rsidR="00E71F4D" w:rsidRDefault="00E71F4D" w:rsidP="00FA4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57631"/>
      <w:docPartObj>
        <w:docPartGallery w:val="Page Numbers (Bottom of Page)"/>
        <w:docPartUnique/>
      </w:docPartObj>
    </w:sdtPr>
    <w:sdtContent>
      <w:sdt>
        <w:sdtPr>
          <w:id w:val="860082579"/>
          <w:docPartObj>
            <w:docPartGallery w:val="Page Numbers (Top of Page)"/>
            <w:docPartUnique/>
          </w:docPartObj>
        </w:sdtPr>
        <w:sdtContent>
          <w:p w:rsidR="007618D5" w:rsidRDefault="00E31A2A">
            <w:pPr>
              <w:pStyle w:val="a4"/>
              <w:jc w:val="right"/>
            </w:pPr>
            <w:r>
              <w:rPr>
                <w:b/>
                <w:bCs/>
                <w:sz w:val="24"/>
                <w:szCs w:val="24"/>
              </w:rPr>
              <w:fldChar w:fldCharType="begin"/>
            </w:r>
            <w:r w:rsidR="007618D5">
              <w:rPr>
                <w:b/>
                <w:bCs/>
              </w:rPr>
              <w:instrText>PAGE</w:instrText>
            </w:r>
            <w:r>
              <w:rPr>
                <w:b/>
                <w:bCs/>
                <w:sz w:val="24"/>
                <w:szCs w:val="24"/>
              </w:rPr>
              <w:fldChar w:fldCharType="separate"/>
            </w:r>
            <w:r w:rsidR="003F77A6">
              <w:rPr>
                <w:b/>
                <w:bCs/>
                <w:noProof/>
              </w:rPr>
              <w:t>3</w:t>
            </w:r>
            <w:r>
              <w:rPr>
                <w:b/>
                <w:bCs/>
                <w:sz w:val="24"/>
                <w:szCs w:val="24"/>
              </w:rPr>
              <w:fldChar w:fldCharType="end"/>
            </w:r>
            <w:r w:rsidR="007618D5">
              <w:rPr>
                <w:lang w:val="zh-CN"/>
              </w:rPr>
              <w:t xml:space="preserve"> / </w:t>
            </w:r>
            <w:r>
              <w:rPr>
                <w:b/>
                <w:bCs/>
                <w:sz w:val="24"/>
                <w:szCs w:val="24"/>
              </w:rPr>
              <w:fldChar w:fldCharType="begin"/>
            </w:r>
            <w:r w:rsidR="007618D5">
              <w:rPr>
                <w:b/>
                <w:bCs/>
              </w:rPr>
              <w:instrText>NUMPAGES</w:instrText>
            </w:r>
            <w:r>
              <w:rPr>
                <w:b/>
                <w:bCs/>
                <w:sz w:val="24"/>
                <w:szCs w:val="24"/>
              </w:rPr>
              <w:fldChar w:fldCharType="separate"/>
            </w:r>
            <w:r w:rsidR="003F77A6">
              <w:rPr>
                <w:b/>
                <w:bCs/>
                <w:noProof/>
              </w:rPr>
              <w:t>3</w:t>
            </w:r>
            <w:r>
              <w:rPr>
                <w:b/>
                <w:bCs/>
                <w:sz w:val="24"/>
                <w:szCs w:val="24"/>
              </w:rPr>
              <w:fldChar w:fldCharType="end"/>
            </w:r>
          </w:p>
        </w:sdtContent>
      </w:sdt>
    </w:sdtContent>
  </w:sdt>
  <w:p w:rsidR="007618D5" w:rsidRDefault="007618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4D" w:rsidRDefault="00E71F4D" w:rsidP="00FA41E1">
      <w:r>
        <w:separator/>
      </w:r>
    </w:p>
  </w:footnote>
  <w:footnote w:type="continuationSeparator" w:id="1">
    <w:p w:rsidR="00E71F4D" w:rsidRDefault="00E71F4D" w:rsidP="00FA4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DF2"/>
    <w:multiLevelType w:val="multilevel"/>
    <w:tmpl w:val="0AE81DF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DA618E9"/>
    <w:multiLevelType w:val="multilevel"/>
    <w:tmpl w:val="1DA618E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04C346F"/>
    <w:multiLevelType w:val="multilevel"/>
    <w:tmpl w:val="204C346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4407648"/>
    <w:multiLevelType w:val="multilevel"/>
    <w:tmpl w:val="7DC122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6717CBF"/>
    <w:multiLevelType w:val="multilevel"/>
    <w:tmpl w:val="7DC122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A665276"/>
    <w:multiLevelType w:val="multilevel"/>
    <w:tmpl w:val="7DC122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7672990"/>
    <w:multiLevelType w:val="hybridMultilevel"/>
    <w:tmpl w:val="613C98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D61FF6"/>
    <w:multiLevelType w:val="multilevel"/>
    <w:tmpl w:val="38D61FF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FAC6C8A"/>
    <w:multiLevelType w:val="multilevel"/>
    <w:tmpl w:val="3FAC6C8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5980C06"/>
    <w:multiLevelType w:val="multilevel"/>
    <w:tmpl w:val="45980C0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C384E38"/>
    <w:multiLevelType w:val="multilevel"/>
    <w:tmpl w:val="4C384E3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94A3037"/>
    <w:multiLevelType w:val="multilevel"/>
    <w:tmpl w:val="594A303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95C62FF"/>
    <w:multiLevelType w:val="multilevel"/>
    <w:tmpl w:val="595C62F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97108EE"/>
    <w:multiLevelType w:val="multilevel"/>
    <w:tmpl w:val="597108E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60FE3E95"/>
    <w:multiLevelType w:val="multilevel"/>
    <w:tmpl w:val="60FE3E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1820D20"/>
    <w:multiLevelType w:val="multilevel"/>
    <w:tmpl w:val="61820D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020315"/>
    <w:multiLevelType w:val="multilevel"/>
    <w:tmpl w:val="7DC122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7DC1229A"/>
    <w:multiLevelType w:val="multilevel"/>
    <w:tmpl w:val="7DC122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1"/>
  </w:num>
  <w:num w:numId="2">
    <w:abstractNumId w:val="17"/>
  </w:num>
  <w:num w:numId="3">
    <w:abstractNumId w:val="10"/>
  </w:num>
  <w:num w:numId="4">
    <w:abstractNumId w:val="15"/>
  </w:num>
  <w:num w:numId="5">
    <w:abstractNumId w:val="14"/>
  </w:num>
  <w:num w:numId="6">
    <w:abstractNumId w:val="7"/>
  </w:num>
  <w:num w:numId="7">
    <w:abstractNumId w:val="13"/>
  </w:num>
  <w:num w:numId="8">
    <w:abstractNumId w:val="12"/>
  </w:num>
  <w:num w:numId="9">
    <w:abstractNumId w:val="1"/>
  </w:num>
  <w:num w:numId="10">
    <w:abstractNumId w:val="8"/>
  </w:num>
  <w:num w:numId="11">
    <w:abstractNumId w:val="0"/>
  </w:num>
  <w:num w:numId="12">
    <w:abstractNumId w:val="9"/>
  </w:num>
  <w:num w:numId="13">
    <w:abstractNumId w:val="2"/>
  </w:num>
  <w:num w:numId="14">
    <w:abstractNumId w:val="6"/>
  </w:num>
  <w:num w:numId="15">
    <w:abstractNumId w:val="16"/>
  </w:num>
  <w:num w:numId="16">
    <w:abstractNumId w:val="5"/>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589"/>
    <w:rsid w:val="000B5589"/>
    <w:rsid w:val="001C7F15"/>
    <w:rsid w:val="00210A96"/>
    <w:rsid w:val="002C19CF"/>
    <w:rsid w:val="00356D63"/>
    <w:rsid w:val="003F77A6"/>
    <w:rsid w:val="005153C0"/>
    <w:rsid w:val="00552923"/>
    <w:rsid w:val="005C2D27"/>
    <w:rsid w:val="005C368B"/>
    <w:rsid w:val="00674B83"/>
    <w:rsid w:val="007618D5"/>
    <w:rsid w:val="00763CE1"/>
    <w:rsid w:val="007957F4"/>
    <w:rsid w:val="008344ED"/>
    <w:rsid w:val="0089216F"/>
    <w:rsid w:val="008B7406"/>
    <w:rsid w:val="00A24018"/>
    <w:rsid w:val="00A37B37"/>
    <w:rsid w:val="00A851F6"/>
    <w:rsid w:val="00AE2A86"/>
    <w:rsid w:val="00B63222"/>
    <w:rsid w:val="00C4385D"/>
    <w:rsid w:val="00C90A82"/>
    <w:rsid w:val="00D7088B"/>
    <w:rsid w:val="00D75FF6"/>
    <w:rsid w:val="00E05930"/>
    <w:rsid w:val="00E31A2A"/>
    <w:rsid w:val="00E71F4D"/>
    <w:rsid w:val="00EA052C"/>
    <w:rsid w:val="00EE6B07"/>
    <w:rsid w:val="00F95451"/>
    <w:rsid w:val="00FA41E1"/>
    <w:rsid w:val="00FC400F"/>
    <w:rsid w:val="00FF4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E1"/>
    <w:pPr>
      <w:widowControl w:val="0"/>
      <w:jc w:val="both"/>
    </w:pPr>
    <w:rPr>
      <w:rFonts w:ascii="Calibri" w:eastAsia="宋体" w:hAnsi="Calibri" w:cs="Times New Roman"/>
    </w:rPr>
  </w:style>
  <w:style w:type="paragraph" w:styleId="1">
    <w:name w:val="heading 1"/>
    <w:basedOn w:val="a"/>
    <w:next w:val="a"/>
    <w:link w:val="1Char"/>
    <w:uiPriority w:val="99"/>
    <w:qFormat/>
    <w:rsid w:val="00FA41E1"/>
    <w:pPr>
      <w:keepNext/>
      <w:keepLines/>
      <w:spacing w:before="340" w:after="330" w:line="578" w:lineRule="auto"/>
      <w:outlineLvl w:val="0"/>
    </w:pPr>
    <w:rPr>
      <w:b/>
      <w:bCs/>
      <w:kern w:val="44"/>
      <w:sz w:val="32"/>
      <w:szCs w:val="44"/>
    </w:rPr>
  </w:style>
  <w:style w:type="paragraph" w:styleId="2">
    <w:name w:val="heading 2"/>
    <w:basedOn w:val="a"/>
    <w:next w:val="a"/>
    <w:link w:val="2Char"/>
    <w:uiPriority w:val="99"/>
    <w:qFormat/>
    <w:rsid w:val="00FA41E1"/>
    <w:pPr>
      <w:keepNext/>
      <w:keepLines/>
      <w:spacing w:before="260" w:after="260" w:line="416" w:lineRule="auto"/>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1E1"/>
    <w:rPr>
      <w:sz w:val="18"/>
      <w:szCs w:val="18"/>
    </w:rPr>
  </w:style>
  <w:style w:type="paragraph" w:styleId="a4">
    <w:name w:val="footer"/>
    <w:basedOn w:val="a"/>
    <w:link w:val="Char0"/>
    <w:uiPriority w:val="99"/>
    <w:unhideWhenUsed/>
    <w:rsid w:val="00FA41E1"/>
    <w:pPr>
      <w:tabs>
        <w:tab w:val="center" w:pos="4153"/>
        <w:tab w:val="right" w:pos="8306"/>
      </w:tabs>
      <w:snapToGrid w:val="0"/>
      <w:jc w:val="left"/>
    </w:pPr>
    <w:rPr>
      <w:sz w:val="18"/>
      <w:szCs w:val="18"/>
    </w:rPr>
  </w:style>
  <w:style w:type="character" w:customStyle="1" w:styleId="Char0">
    <w:name w:val="页脚 Char"/>
    <w:basedOn w:val="a0"/>
    <w:link w:val="a4"/>
    <w:uiPriority w:val="99"/>
    <w:rsid w:val="00FA41E1"/>
    <w:rPr>
      <w:sz w:val="18"/>
      <w:szCs w:val="18"/>
    </w:rPr>
  </w:style>
  <w:style w:type="character" w:customStyle="1" w:styleId="1Char">
    <w:name w:val="标题 1 Char"/>
    <w:basedOn w:val="a0"/>
    <w:link w:val="1"/>
    <w:uiPriority w:val="99"/>
    <w:rsid w:val="00FA41E1"/>
    <w:rPr>
      <w:rFonts w:ascii="Calibri" w:eastAsia="宋体" w:hAnsi="Calibri" w:cs="Times New Roman"/>
      <w:b/>
      <w:bCs/>
      <w:kern w:val="44"/>
      <w:sz w:val="32"/>
      <w:szCs w:val="44"/>
    </w:rPr>
  </w:style>
  <w:style w:type="character" w:customStyle="1" w:styleId="2Char">
    <w:name w:val="标题 2 Char"/>
    <w:basedOn w:val="a0"/>
    <w:link w:val="2"/>
    <w:uiPriority w:val="99"/>
    <w:rsid w:val="00FA41E1"/>
    <w:rPr>
      <w:rFonts w:ascii="Cambria" w:eastAsia="宋体" w:hAnsi="Cambria" w:cs="Times New Roman"/>
      <w:b/>
      <w:bCs/>
      <w:sz w:val="28"/>
      <w:szCs w:val="32"/>
    </w:rPr>
  </w:style>
  <w:style w:type="paragraph" w:customStyle="1" w:styleId="10">
    <w:name w:val="列表段落1"/>
    <w:basedOn w:val="a"/>
    <w:uiPriority w:val="99"/>
    <w:qFormat/>
    <w:rsid w:val="00FA41E1"/>
    <w:pPr>
      <w:ind w:firstLineChars="200" w:firstLine="420"/>
    </w:pPr>
  </w:style>
  <w:style w:type="paragraph" w:styleId="a5">
    <w:name w:val="Balloon Text"/>
    <w:basedOn w:val="a"/>
    <w:link w:val="Char1"/>
    <w:uiPriority w:val="99"/>
    <w:semiHidden/>
    <w:unhideWhenUsed/>
    <w:rsid w:val="00FA41E1"/>
    <w:rPr>
      <w:sz w:val="18"/>
      <w:szCs w:val="18"/>
    </w:rPr>
  </w:style>
  <w:style w:type="character" w:customStyle="1" w:styleId="Char1">
    <w:name w:val="批注框文本 Char"/>
    <w:basedOn w:val="a0"/>
    <w:link w:val="a5"/>
    <w:uiPriority w:val="99"/>
    <w:semiHidden/>
    <w:rsid w:val="00FA41E1"/>
    <w:rPr>
      <w:rFonts w:ascii="Calibri" w:eastAsia="宋体" w:hAnsi="Calibri" w:cs="Times New Roman"/>
      <w:sz w:val="18"/>
      <w:szCs w:val="18"/>
    </w:rPr>
  </w:style>
  <w:style w:type="paragraph" w:styleId="a6">
    <w:name w:val="List Paragraph"/>
    <w:basedOn w:val="a"/>
    <w:uiPriority w:val="34"/>
    <w:qFormat/>
    <w:rsid w:val="00674B83"/>
    <w:pPr>
      <w:ind w:firstLineChars="200" w:firstLine="420"/>
    </w:pPr>
  </w:style>
  <w:style w:type="paragraph" w:styleId="a7">
    <w:name w:val="Normal (Web)"/>
    <w:basedOn w:val="a"/>
    <w:uiPriority w:val="99"/>
    <w:unhideWhenUsed/>
    <w:rsid w:val="00A851F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2334">
      <w:bodyDiv w:val="1"/>
      <w:marLeft w:val="0"/>
      <w:marRight w:val="0"/>
      <w:marTop w:val="0"/>
      <w:marBottom w:val="0"/>
      <w:divBdr>
        <w:top w:val="none" w:sz="0" w:space="0" w:color="auto"/>
        <w:left w:val="none" w:sz="0" w:space="0" w:color="auto"/>
        <w:bottom w:val="none" w:sz="0" w:space="0" w:color="auto"/>
        <w:right w:val="none" w:sz="0" w:space="0" w:color="auto"/>
      </w:divBdr>
    </w:div>
    <w:div w:id="557209917">
      <w:bodyDiv w:val="1"/>
      <w:marLeft w:val="0"/>
      <w:marRight w:val="0"/>
      <w:marTop w:val="0"/>
      <w:marBottom w:val="0"/>
      <w:divBdr>
        <w:top w:val="none" w:sz="0" w:space="0" w:color="auto"/>
        <w:left w:val="none" w:sz="0" w:space="0" w:color="auto"/>
        <w:bottom w:val="none" w:sz="0" w:space="0" w:color="auto"/>
        <w:right w:val="none" w:sz="0" w:space="0" w:color="auto"/>
      </w:divBdr>
    </w:div>
    <w:div w:id="1829052297">
      <w:bodyDiv w:val="1"/>
      <w:marLeft w:val="0"/>
      <w:marRight w:val="0"/>
      <w:marTop w:val="0"/>
      <w:marBottom w:val="0"/>
      <w:divBdr>
        <w:top w:val="none" w:sz="0" w:space="0" w:color="auto"/>
        <w:left w:val="none" w:sz="0" w:space="0" w:color="auto"/>
        <w:bottom w:val="none" w:sz="0" w:space="0" w:color="auto"/>
        <w:right w:val="none" w:sz="0" w:space="0" w:color="auto"/>
      </w:divBdr>
    </w:div>
    <w:div w:id="184427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D31D-3663-419E-A74D-82D0DA04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clf</dc:creator>
  <cp:keywords/>
  <dc:description/>
  <cp:lastModifiedBy>hp</cp:lastModifiedBy>
  <cp:revision>20</cp:revision>
  <cp:lastPrinted>2019-10-29T01:40:00Z</cp:lastPrinted>
  <dcterms:created xsi:type="dcterms:W3CDTF">2019-10-20T05:26:00Z</dcterms:created>
  <dcterms:modified xsi:type="dcterms:W3CDTF">2019-11-14T04:25:00Z</dcterms:modified>
</cp:coreProperties>
</file>