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1F" w:rsidRDefault="00ED441F">
      <w:pPr>
        <w:widowControl/>
        <w:spacing w:line="22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5"/>
        </w:rPr>
      </w:pPr>
    </w:p>
    <w:p w:rsidR="00ED441F" w:rsidRDefault="009F76A8">
      <w:pPr>
        <w:tabs>
          <w:tab w:val="left" w:pos="2642"/>
        </w:tabs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一、总体要求：</w:t>
      </w:r>
      <w:r>
        <w:rPr>
          <w:rFonts w:asciiTheme="minorEastAsia" w:hAnsiTheme="minorEastAsia"/>
          <w:sz w:val="18"/>
          <w:szCs w:val="18"/>
        </w:rPr>
        <w:tab/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．所供试剂具有完善的销售供应和售后服务的保障体系，货源充足，供货及时，冷链运输，具有</w:t>
      </w:r>
      <w:r>
        <w:rPr>
          <w:rFonts w:asciiTheme="minorEastAsia" w:hAnsiTheme="minorEastAsia" w:hint="eastAsia"/>
          <w:sz w:val="18"/>
          <w:szCs w:val="18"/>
        </w:rPr>
        <w:t>24</w:t>
      </w:r>
      <w:r>
        <w:rPr>
          <w:rFonts w:asciiTheme="minorEastAsia" w:hAnsiTheme="minorEastAsia" w:hint="eastAsia"/>
          <w:sz w:val="18"/>
          <w:szCs w:val="18"/>
        </w:rPr>
        <w:t>小时内加急供货的应急能力。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．所供试剂参数和设备符合临床使用需求，免费升级软硬件以适应临床需要。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．试剂和设备运输、安装至正常使用所产生的一切费用由供应商承担。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．试剂必须在浙江省药械平台中标或有阳光采购代码；若无产品代码，中标产品须在</w:t>
      </w:r>
      <w:r>
        <w:rPr>
          <w:rFonts w:asciiTheme="minorEastAsia" w:hAnsiTheme="minorEastAsia" w:hint="eastAsia"/>
          <w:sz w:val="18"/>
          <w:szCs w:val="18"/>
        </w:rPr>
        <w:t>6</w:t>
      </w:r>
      <w:r>
        <w:rPr>
          <w:rFonts w:asciiTheme="minorEastAsia" w:hAnsiTheme="minorEastAsia" w:hint="eastAsia"/>
          <w:sz w:val="18"/>
          <w:szCs w:val="18"/>
        </w:rPr>
        <w:t>个月内提供相应产品代码。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</w:t>
      </w:r>
      <w:r>
        <w:rPr>
          <w:rFonts w:asciiTheme="minorEastAsia" w:hAnsiTheme="minorEastAsia" w:hint="eastAsia"/>
          <w:sz w:val="18"/>
          <w:szCs w:val="18"/>
        </w:rPr>
        <w:t>．提供设备联网数据接口类型及协议，并协助完成设备与医院网络的互联互通，相关费用由设备供应商承担（如有）。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</w:t>
      </w:r>
      <w:r>
        <w:rPr>
          <w:rFonts w:asciiTheme="minorEastAsia" w:hAnsiTheme="minorEastAsia" w:hint="eastAsia"/>
          <w:sz w:val="18"/>
          <w:szCs w:val="18"/>
        </w:rPr>
        <w:t>．提供设备首次质检、调试、计量等工作（如需）。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</w:t>
      </w:r>
      <w:r>
        <w:rPr>
          <w:rFonts w:asciiTheme="minorEastAsia" w:hAnsiTheme="minorEastAsia" w:hint="eastAsia"/>
          <w:sz w:val="18"/>
          <w:szCs w:val="18"/>
        </w:rPr>
        <w:t>．设备维修及时（≤</w:t>
      </w:r>
      <w:r>
        <w:rPr>
          <w:rFonts w:asciiTheme="minorEastAsia" w:hAnsiTheme="minorEastAsia" w:hint="eastAsia"/>
          <w:sz w:val="18"/>
          <w:szCs w:val="18"/>
        </w:rPr>
        <w:t>8</w:t>
      </w:r>
      <w:r>
        <w:rPr>
          <w:rFonts w:asciiTheme="minorEastAsia" w:hAnsiTheme="minorEastAsia" w:hint="eastAsia"/>
          <w:sz w:val="18"/>
          <w:szCs w:val="18"/>
        </w:rPr>
        <w:t>小时响应），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无法修复则提供新仪器备用</w:t>
      </w:r>
      <w:r>
        <w:rPr>
          <w:rFonts w:asciiTheme="minorEastAsia" w:hAnsiTheme="minorEastAsia" w:hint="eastAsia"/>
          <w:sz w:val="18"/>
          <w:szCs w:val="18"/>
        </w:rPr>
        <w:t>；合同期内提供日常维修（故障部件及时免费更换）和每年设备校准服务，并出具正规校准报告。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</w:t>
      </w:r>
      <w:r>
        <w:rPr>
          <w:rFonts w:asciiTheme="minorEastAsia" w:hAnsiTheme="minorEastAsia" w:hint="eastAsia"/>
          <w:sz w:val="18"/>
          <w:szCs w:val="18"/>
        </w:rPr>
        <w:t>．提供的产品和设备必须具有医疗器械注册证或证明文件。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>
        <w:rPr>
          <w:rFonts w:asciiTheme="minorEastAsia" w:hAnsiTheme="minorEastAsia" w:hint="eastAsia"/>
          <w:sz w:val="18"/>
          <w:szCs w:val="18"/>
        </w:rPr>
        <w:t>．完成投标项目所需全部的主试剂、辅助试剂或耗品（包括清洗液、缓冲液、校准品、质控品、底物、反应试管等）的商品名、规格、货号及价格等由应标方详细列出，未在列的辅助试剂</w:t>
      </w:r>
      <w:proofErr w:type="gramStart"/>
      <w:r>
        <w:rPr>
          <w:rFonts w:asciiTheme="minorEastAsia" w:hAnsiTheme="minorEastAsia" w:hint="eastAsia"/>
          <w:sz w:val="18"/>
          <w:szCs w:val="18"/>
        </w:rPr>
        <w:t>或耗品视作</w:t>
      </w:r>
      <w:proofErr w:type="gramEnd"/>
      <w:r>
        <w:rPr>
          <w:rFonts w:asciiTheme="minorEastAsia" w:hAnsiTheme="minorEastAsia" w:hint="eastAsia"/>
          <w:sz w:val="18"/>
          <w:szCs w:val="18"/>
        </w:rPr>
        <w:t>免费提供。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．主试剂必须单个测试报价，单个测试报价包括完成一个测试所需的主试剂</w:t>
      </w:r>
      <w:r>
        <w:rPr>
          <w:rFonts w:hint="eastAsia"/>
          <w:sz w:val="18"/>
          <w:szCs w:val="18"/>
        </w:rPr>
        <w:t>、配套试剂和各种</w:t>
      </w:r>
      <w:proofErr w:type="gramStart"/>
      <w:r>
        <w:rPr>
          <w:rFonts w:hint="eastAsia"/>
          <w:sz w:val="18"/>
          <w:szCs w:val="18"/>
        </w:rPr>
        <w:t>质控品以及</w:t>
      </w:r>
      <w:proofErr w:type="gramEnd"/>
      <w:r>
        <w:rPr>
          <w:rFonts w:hint="eastAsia"/>
          <w:sz w:val="18"/>
          <w:szCs w:val="18"/>
        </w:rPr>
        <w:t>完成测试所需的所有耗材。</w:t>
      </w:r>
    </w:p>
    <w:p w:rsidR="00ED441F" w:rsidRDefault="009F76A8">
      <w:pPr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．合同执行过程中，</w:t>
      </w:r>
      <w:r>
        <w:rPr>
          <w:rFonts w:ascii="Calibri" w:eastAsia="宋体" w:hAnsi="宋体" w:cs="Times New Roman" w:hint="eastAsia"/>
          <w:bCs/>
          <w:sz w:val="18"/>
          <w:szCs w:val="18"/>
        </w:rPr>
        <w:t>对</w:t>
      </w:r>
      <w:r>
        <w:rPr>
          <w:rFonts w:hint="eastAsia"/>
          <w:sz w:val="18"/>
          <w:szCs w:val="18"/>
        </w:rPr>
        <w:t>试剂或耗材</w:t>
      </w:r>
      <w:r>
        <w:rPr>
          <w:rFonts w:ascii="Calibri" w:eastAsia="宋体" w:hAnsi="宋体" w:cs="Times New Roman" w:hint="eastAsia"/>
          <w:bCs/>
          <w:sz w:val="18"/>
          <w:szCs w:val="18"/>
        </w:rPr>
        <w:t>使用成本进行测算。实际测算成本高于</w:t>
      </w:r>
      <w:r>
        <w:rPr>
          <w:rFonts w:hAnsi="宋体" w:hint="eastAsia"/>
          <w:bCs/>
          <w:sz w:val="18"/>
          <w:szCs w:val="18"/>
        </w:rPr>
        <w:t>供应商投标</w:t>
      </w:r>
      <w:r>
        <w:rPr>
          <w:rFonts w:ascii="Calibri" w:eastAsia="宋体" w:hAnsi="宋体" w:cs="Times New Roman" w:hint="eastAsia"/>
          <w:bCs/>
          <w:sz w:val="18"/>
          <w:szCs w:val="18"/>
        </w:rPr>
        <w:t>承诺成本的，则</w:t>
      </w:r>
      <w:r>
        <w:rPr>
          <w:rFonts w:hint="eastAsia"/>
          <w:sz w:val="18"/>
          <w:szCs w:val="18"/>
        </w:rPr>
        <w:t>试剂或耗材</w:t>
      </w:r>
      <w:r>
        <w:rPr>
          <w:rFonts w:ascii="Calibri" w:eastAsia="宋体" w:hAnsi="宋体" w:cs="Times New Roman" w:hint="eastAsia"/>
          <w:bCs/>
          <w:sz w:val="18"/>
          <w:szCs w:val="18"/>
        </w:rPr>
        <w:t>投标价格下浮，使实际测算成本符合承诺成本</w:t>
      </w:r>
      <w:r>
        <w:rPr>
          <w:rFonts w:hAnsi="宋体" w:hint="eastAsia"/>
          <w:bCs/>
          <w:sz w:val="18"/>
          <w:szCs w:val="18"/>
        </w:rPr>
        <w:t>，并</w:t>
      </w:r>
      <w:r>
        <w:rPr>
          <w:rFonts w:hint="eastAsia"/>
          <w:sz w:val="18"/>
          <w:szCs w:val="18"/>
        </w:rPr>
        <w:t>赔偿已采购成本差</w:t>
      </w:r>
      <w:r>
        <w:rPr>
          <w:rFonts w:ascii="Calibri" w:eastAsia="宋体" w:hAnsi="宋体" w:cs="Times New Roman" w:hint="eastAsia"/>
          <w:bCs/>
          <w:sz w:val="18"/>
          <w:szCs w:val="18"/>
        </w:rPr>
        <w:t>；实际测算成本不高于投标承诺成本的，则</w:t>
      </w:r>
      <w:r>
        <w:rPr>
          <w:rFonts w:hint="eastAsia"/>
          <w:sz w:val="18"/>
          <w:szCs w:val="18"/>
        </w:rPr>
        <w:t>试剂或耗材</w:t>
      </w:r>
      <w:r>
        <w:rPr>
          <w:rFonts w:ascii="Calibri" w:eastAsia="宋体" w:hAnsi="宋体" w:cs="Times New Roman" w:hint="eastAsia"/>
          <w:bCs/>
          <w:sz w:val="18"/>
          <w:szCs w:val="18"/>
        </w:rPr>
        <w:t>投标价格不做调整</w:t>
      </w:r>
      <w:r>
        <w:rPr>
          <w:rFonts w:hint="eastAsia"/>
          <w:sz w:val="18"/>
          <w:szCs w:val="18"/>
        </w:rPr>
        <w:t>；如发现试剂或耗材的采购价格高于浙江省阳光采购最低价，要求调整到最低价。</w:t>
      </w:r>
    </w:p>
    <w:p w:rsidR="00ED441F" w:rsidRDefault="009F7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二、具体项目参数</w:t>
      </w:r>
    </w:p>
    <w:tbl>
      <w:tblPr>
        <w:tblStyle w:val="a5"/>
        <w:tblW w:w="9967" w:type="dxa"/>
        <w:jc w:val="center"/>
        <w:tblLook w:val="04A0" w:firstRow="1" w:lastRow="0" w:firstColumn="1" w:lastColumn="0" w:noHBand="0" w:noVBand="1"/>
      </w:tblPr>
      <w:tblGrid>
        <w:gridCol w:w="765"/>
        <w:gridCol w:w="1477"/>
        <w:gridCol w:w="3725"/>
        <w:gridCol w:w="4000"/>
      </w:tblGrid>
      <w:tr w:rsidR="00ED441F">
        <w:trPr>
          <w:trHeight w:val="836"/>
          <w:jc w:val="center"/>
        </w:trPr>
        <w:tc>
          <w:tcPr>
            <w:tcW w:w="765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77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3725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具体</w:t>
            </w:r>
            <w:r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4000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产品</w:t>
            </w:r>
            <w:r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ED441F">
        <w:trPr>
          <w:trHeight w:val="3349"/>
          <w:jc w:val="center"/>
        </w:trPr>
        <w:tc>
          <w:tcPr>
            <w:tcW w:w="765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77" w:type="dxa"/>
            <w:vAlign w:val="center"/>
          </w:tcPr>
          <w:p w:rsidR="00ED441F" w:rsidRDefault="009F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急诊免疫四项</w:t>
            </w:r>
          </w:p>
        </w:tc>
        <w:tc>
          <w:tcPr>
            <w:tcW w:w="3725" w:type="dxa"/>
            <w:vAlign w:val="center"/>
          </w:tcPr>
          <w:p w:rsidR="00ED441F" w:rsidRDefault="009F76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乙型肝炎表面抗原（</w:t>
            </w:r>
            <w:proofErr w:type="spellStart"/>
            <w:r>
              <w:rPr>
                <w:rFonts w:asciiTheme="minorEastAsia" w:hAnsiTheme="minorEastAsia" w:cs="Times New Roman"/>
                <w:szCs w:val="21"/>
              </w:rPr>
              <w:t>HBsAg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）检测</w:t>
            </w:r>
          </w:p>
          <w:p w:rsidR="00ED441F" w:rsidRDefault="009F76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丙型肝炎病毒抗体（抗</w:t>
            </w:r>
            <w:r>
              <w:rPr>
                <w:rFonts w:asciiTheme="minorEastAsia" w:hAnsiTheme="minorEastAsia" w:cs="Times New Roman"/>
                <w:szCs w:val="21"/>
              </w:rPr>
              <w:t>-HCV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D441F" w:rsidRDefault="009F76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人类免疫缺陷病毒抗体（抗</w:t>
            </w:r>
            <w:r>
              <w:rPr>
                <w:rFonts w:asciiTheme="minorEastAsia" w:hAnsiTheme="minorEastAsia" w:cs="Times New Roman"/>
                <w:szCs w:val="21"/>
              </w:rPr>
              <w:t>-HIV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D441F" w:rsidRDefault="009F76A8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梅毒螺旋体抗体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抗</w:t>
            </w:r>
            <w:r>
              <w:rPr>
                <w:rFonts w:asciiTheme="minorEastAsia" w:hAnsiTheme="minorEastAsia" w:cs="Times New Roman"/>
                <w:szCs w:val="21"/>
              </w:rPr>
              <w:t>-TP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检测</w:t>
            </w:r>
          </w:p>
        </w:tc>
        <w:tc>
          <w:tcPr>
            <w:tcW w:w="4000" w:type="dxa"/>
          </w:tcPr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一、操作要求：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步法；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二、方法学：胶体金快速法；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三、检测时间：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&lt;30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分钟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/test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；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四、耗材：配套提供所有检测必须的耗材（不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限于吸样枪头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、样品处理液等）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五、其他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技术支持：免费提供试剂操作培训；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最低检测限、精密度和稳定性等均符合国家标准要求，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与其他其他阳性血清产生交叉反应。</w:t>
            </w:r>
          </w:p>
        </w:tc>
      </w:tr>
      <w:tr w:rsidR="00ED441F">
        <w:trPr>
          <w:trHeight w:val="3349"/>
          <w:jc w:val="center"/>
        </w:trPr>
        <w:tc>
          <w:tcPr>
            <w:tcW w:w="765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77" w:type="dxa"/>
            <w:vAlign w:val="center"/>
          </w:tcPr>
          <w:p w:rsidR="00ED441F" w:rsidRDefault="009F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降钙素原（</w:t>
            </w:r>
            <w:r>
              <w:rPr>
                <w:rFonts w:asciiTheme="minorEastAsia" w:hAnsiTheme="minorEastAsia" w:hint="eastAsia"/>
                <w:szCs w:val="21"/>
              </w:rPr>
              <w:t>PCT</w:t>
            </w:r>
            <w:r>
              <w:rPr>
                <w:rFonts w:asciiTheme="minorEastAsia" w:hAnsiTheme="minorEastAsia" w:hint="eastAsia"/>
                <w:szCs w:val="21"/>
              </w:rPr>
              <w:t>）快速检测试剂及相关设备租赁</w:t>
            </w:r>
          </w:p>
        </w:tc>
        <w:tc>
          <w:tcPr>
            <w:tcW w:w="3725" w:type="dxa"/>
            <w:vAlign w:val="center"/>
          </w:tcPr>
          <w:p w:rsidR="00ED441F" w:rsidRDefault="009F76A8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降钙素原（</w:t>
            </w:r>
            <w:r>
              <w:rPr>
                <w:rFonts w:asciiTheme="minorEastAsia" w:hAnsiTheme="minorEastAsia" w:cs="宋体" w:hint="eastAsia"/>
                <w:szCs w:val="21"/>
              </w:rPr>
              <w:t>PCT</w:t>
            </w:r>
            <w:r>
              <w:rPr>
                <w:rFonts w:asciiTheme="minorEastAsia" w:hAnsiTheme="minorEastAsia" w:cs="宋体" w:hint="eastAsia"/>
                <w:szCs w:val="21"/>
              </w:rPr>
              <w:t>）快速检测试剂</w:t>
            </w:r>
          </w:p>
        </w:tc>
        <w:tc>
          <w:tcPr>
            <w:tcW w:w="4000" w:type="dxa"/>
          </w:tcPr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一、检测试剂要求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支持标本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：末梢全血、静脉全血、血清、血浆均能检测。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．操作要求：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步法，自动检测完成。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．首份标本结果报告时间：≤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15min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．检测原理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：发光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荧光免疫原理。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灵敏度：≤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0.01ng/mL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线性范围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0.02-100ng/mL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精密度（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CV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）：≤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10%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耗材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：提供所有检测必须的耗材（不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限于吸样枪头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、冲洗液等）。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二、配套设备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检测菜单：后期具有可扩展性。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2.LIS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：具备自动传输功能，并负担后续连接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LIS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所需设备和费用。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原始数据：具备原始数据保存及查询功能，并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能导出备份数据库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电源：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AC 100-240V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50-60HZ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工作环境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温度：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5-40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，相对湿度：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&lt;80%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操作系统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全中文操作界面。仪器直连打印机。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三、质量控制要求：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质控品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：原装配套。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校准品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定标品：原装配套，自动导入定标曲线。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四、其他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保修期：终身免费保修。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技术支持：免费提供仪器操作和维保培训。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维修服务：响应时间不超过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个工作小时，无法修复则提供新仪器备用。</w:t>
            </w:r>
          </w:p>
        </w:tc>
      </w:tr>
      <w:tr w:rsidR="00ED441F">
        <w:trPr>
          <w:trHeight w:val="3349"/>
          <w:jc w:val="center"/>
        </w:trPr>
        <w:tc>
          <w:tcPr>
            <w:tcW w:w="765" w:type="dxa"/>
            <w:vAlign w:val="center"/>
          </w:tcPr>
          <w:p w:rsidR="00ED441F" w:rsidRDefault="009F76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477" w:type="dxa"/>
            <w:vAlign w:val="center"/>
          </w:tcPr>
          <w:p w:rsidR="00ED441F" w:rsidRDefault="009F76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糖化血红蛋白检测试剂及相关设备租赁</w:t>
            </w:r>
          </w:p>
        </w:tc>
        <w:tc>
          <w:tcPr>
            <w:tcW w:w="3725" w:type="dxa"/>
            <w:vAlign w:val="center"/>
          </w:tcPr>
          <w:p w:rsidR="00ED441F" w:rsidRDefault="009F76A8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糖化血红蛋白相关试剂</w:t>
            </w:r>
          </w:p>
        </w:tc>
        <w:tc>
          <w:tcPr>
            <w:tcW w:w="4000" w:type="dxa"/>
          </w:tcPr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一、检测试剂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支持标本：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EDTA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抗凝末梢全血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静脉全血。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进样量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：≤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μ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L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．操作要求：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步法，自动检测完成。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．检测速度：≥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50Test/hour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．检测原理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：高效液相色谱分析法（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HPLC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）。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．线性范围：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3%-30%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．精密度（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CV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）：≤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1.5%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．溯源性：可溯源至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IFCC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参考方法。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．抗干扰性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：抗胎儿血红蛋白、白蛋白、血脂等干扰能力强。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二、配套仪器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LIS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：双向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LIS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通讯功能，并负担后续连接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LIS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所需设备和费用。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．原始数据：具备原始数据保存及查询功能，并能导出备份数据库。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．电源：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AC 100-240V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50-60HZ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．工作环境：温度：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5-40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，相对湿度：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&lt;80%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仪器直连打印机。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三、质量控制要求：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．质控品：原装配套。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．校准品：原装配套。　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四、其他：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保修期：终身免费保修。</w:t>
            </w:r>
          </w:p>
          <w:p w:rsidR="00ED441F" w:rsidRDefault="009F76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技术支持：免费提供仪器操作和维保培训。</w:t>
            </w:r>
          </w:p>
          <w:p w:rsidR="00ED441F" w:rsidRDefault="009F76A8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维修服务：响应时间不超过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个工作小时，无法修复则提供新仪器备用</w:t>
            </w:r>
          </w:p>
        </w:tc>
      </w:tr>
    </w:tbl>
    <w:p w:rsidR="009F76A8" w:rsidRDefault="009F76A8" w:rsidP="009F76A8">
      <w:r>
        <w:rPr>
          <w:rFonts w:hint="eastAsia"/>
        </w:rPr>
        <w:lastRenderedPageBreak/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项为必须符合项。</w:t>
      </w:r>
    </w:p>
    <w:p w:rsidR="009F76A8" w:rsidRDefault="009F76A8" w:rsidP="009F76A8">
      <w:r>
        <w:rPr>
          <w:rFonts w:hint="eastAsia"/>
        </w:rPr>
        <w:t xml:space="preserve">    2</w:t>
      </w:r>
      <w:r>
        <w:rPr>
          <w:rFonts w:hint="eastAsia"/>
        </w:rPr>
        <w:t>、每个项目的具体产品必须报全。</w:t>
      </w:r>
    </w:p>
    <w:p w:rsidR="00ED441F" w:rsidRPr="009F76A8" w:rsidRDefault="00ED441F">
      <w:bookmarkStart w:id="0" w:name="_GoBack"/>
      <w:bookmarkEnd w:id="0"/>
    </w:p>
    <w:sectPr w:rsidR="00ED441F" w:rsidRPr="009F76A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A8" w:rsidRDefault="009F76A8" w:rsidP="009F76A8">
      <w:r>
        <w:separator/>
      </w:r>
    </w:p>
  </w:endnote>
  <w:endnote w:type="continuationSeparator" w:id="0">
    <w:p w:rsidR="009F76A8" w:rsidRDefault="009F76A8" w:rsidP="009F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A8" w:rsidRDefault="009F76A8" w:rsidP="009F76A8">
      <w:r>
        <w:separator/>
      </w:r>
    </w:p>
  </w:footnote>
  <w:footnote w:type="continuationSeparator" w:id="0">
    <w:p w:rsidR="009F76A8" w:rsidRDefault="009F76A8" w:rsidP="009F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EFE"/>
    <w:rsid w:val="00025F8D"/>
    <w:rsid w:val="00027815"/>
    <w:rsid w:val="00092BD8"/>
    <w:rsid w:val="000D23DB"/>
    <w:rsid w:val="000D2852"/>
    <w:rsid w:val="000F2C1F"/>
    <w:rsid w:val="001747DE"/>
    <w:rsid w:val="001F0974"/>
    <w:rsid w:val="001F34AD"/>
    <w:rsid w:val="00272A87"/>
    <w:rsid w:val="00387D10"/>
    <w:rsid w:val="003A61C8"/>
    <w:rsid w:val="003A7081"/>
    <w:rsid w:val="003E5531"/>
    <w:rsid w:val="00413C6C"/>
    <w:rsid w:val="004236FD"/>
    <w:rsid w:val="0052402A"/>
    <w:rsid w:val="0057073C"/>
    <w:rsid w:val="005B46AD"/>
    <w:rsid w:val="006565B4"/>
    <w:rsid w:val="006B5D58"/>
    <w:rsid w:val="00733B07"/>
    <w:rsid w:val="00733B8A"/>
    <w:rsid w:val="00763F2A"/>
    <w:rsid w:val="007A1B28"/>
    <w:rsid w:val="007B1369"/>
    <w:rsid w:val="007D2A20"/>
    <w:rsid w:val="007D2F26"/>
    <w:rsid w:val="007E2046"/>
    <w:rsid w:val="00872E36"/>
    <w:rsid w:val="00885BA3"/>
    <w:rsid w:val="008D6EFE"/>
    <w:rsid w:val="009F76A8"/>
    <w:rsid w:val="00B2352C"/>
    <w:rsid w:val="00B46D81"/>
    <w:rsid w:val="00BB28F3"/>
    <w:rsid w:val="00BC789C"/>
    <w:rsid w:val="00BE1497"/>
    <w:rsid w:val="00C752CD"/>
    <w:rsid w:val="00CF03C9"/>
    <w:rsid w:val="00D07BD6"/>
    <w:rsid w:val="00D637EA"/>
    <w:rsid w:val="00DE05E6"/>
    <w:rsid w:val="00E26C47"/>
    <w:rsid w:val="00E7360B"/>
    <w:rsid w:val="00ED441F"/>
    <w:rsid w:val="00EE3711"/>
    <w:rsid w:val="00EE6685"/>
    <w:rsid w:val="00F04EE4"/>
    <w:rsid w:val="00FC0B3B"/>
    <w:rsid w:val="00FF7EDC"/>
    <w:rsid w:val="37192B19"/>
    <w:rsid w:val="6BA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E666-9973-4889-8C6F-A829CB1D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20</cp:revision>
  <cp:lastPrinted>2020-04-25T08:51:00Z</cp:lastPrinted>
  <dcterms:created xsi:type="dcterms:W3CDTF">2020-04-03T00:22:00Z</dcterms:created>
  <dcterms:modified xsi:type="dcterms:W3CDTF">2020-04-26T03:19:00Z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