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75" w:rsidRDefault="00211D75" w:rsidP="00211D75">
      <w:pPr>
        <w:autoSpaceDE w:val="0"/>
        <w:autoSpaceDN w:val="0"/>
        <w:adjustRightInd w:val="0"/>
        <w:spacing w:line="440" w:lineRule="exact"/>
        <w:jc w:val="center"/>
        <w:rPr>
          <w:rFonts w:hAnsi="宋体"/>
          <w:b/>
          <w:bCs/>
          <w:sz w:val="36"/>
        </w:rPr>
      </w:pPr>
      <w:r>
        <w:rPr>
          <w:rFonts w:hAnsi="宋体" w:hint="eastAsia"/>
          <w:b/>
          <w:bCs/>
          <w:sz w:val="36"/>
        </w:rPr>
        <w:t>项目技术规范和服务要求</w:t>
      </w:r>
    </w:p>
    <w:p w:rsidR="00211D75" w:rsidRDefault="00211D75" w:rsidP="00211D75">
      <w:pPr>
        <w:autoSpaceDE w:val="0"/>
        <w:autoSpaceDN w:val="0"/>
        <w:adjustRightInd w:val="0"/>
        <w:spacing w:line="440" w:lineRule="exact"/>
        <w:jc w:val="center"/>
        <w:rPr>
          <w:rFonts w:hAnsi="宋体"/>
          <w:b/>
          <w:bCs/>
          <w:sz w:val="36"/>
        </w:rPr>
      </w:pPr>
    </w:p>
    <w:p w:rsidR="00211D75" w:rsidRDefault="00211D75" w:rsidP="00211D75">
      <w:pPr>
        <w:pStyle w:val="1"/>
        <w:tabs>
          <w:tab w:val="clear" w:pos="720"/>
        </w:tabs>
        <w:spacing w:before="0" w:after="0" w:line="360" w:lineRule="auto"/>
        <w:ind w:left="0" w:firstLine="0"/>
        <w:rPr>
          <w:rFonts w:ascii="宋体" w:hAnsi="宋体" w:cs="宋体"/>
          <w:bCs w:val="0"/>
          <w:kern w:val="2"/>
          <w:sz w:val="24"/>
          <w:szCs w:val="24"/>
        </w:rPr>
      </w:pPr>
      <w:r>
        <w:rPr>
          <w:rFonts w:ascii="宋体" w:hAnsi="宋体" w:cs="宋体" w:hint="eastAsia"/>
          <w:bCs w:val="0"/>
          <w:kern w:val="2"/>
          <w:sz w:val="24"/>
          <w:szCs w:val="24"/>
        </w:rPr>
        <w:t>一、采购内容</w:t>
      </w:r>
    </w:p>
    <w:p w:rsidR="00211D75" w:rsidRDefault="00211D75" w:rsidP="00211D75">
      <w:pPr>
        <w:tabs>
          <w:tab w:val="center" w:pos="4706"/>
          <w:tab w:val="left" w:pos="708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1、浙江大学医学院附属儿童医院</w:t>
      </w:r>
      <w:r w:rsidR="00F74E82">
        <w:rPr>
          <w:rFonts w:ascii="宋体" w:hAnsi="宋体" w:hint="eastAsia"/>
          <w:sz w:val="24"/>
        </w:rPr>
        <w:t>两院区中央空调清洗消毒</w:t>
      </w:r>
      <w:r>
        <w:rPr>
          <w:rFonts w:ascii="宋体" w:hAnsi="宋体" w:hint="eastAsia"/>
          <w:sz w:val="24"/>
        </w:rPr>
        <w:t>项目，</w:t>
      </w:r>
      <w:r w:rsidR="00F74E82">
        <w:rPr>
          <w:rFonts w:ascii="宋体" w:hAnsi="宋体" w:hint="eastAsia"/>
          <w:color w:val="000000"/>
          <w:sz w:val="24"/>
        </w:rPr>
        <w:t>消毒服务范围</w:t>
      </w:r>
      <w:r>
        <w:rPr>
          <w:rFonts w:ascii="宋体" w:hAnsi="宋体" w:hint="eastAsia"/>
          <w:color w:val="000000"/>
          <w:sz w:val="24"/>
        </w:rPr>
        <w:t>具体包括新风机组（翅片、积水盘、水过滤器、送回风口、回风过滤网）、风机盘管（翅片、积水盘、水过滤器、送回风口、送回风风管、回风过滤网）、空调新风管（内壁、出风口散流器）进行清洗消毒，</w:t>
      </w:r>
      <w:r w:rsidR="009D380B">
        <w:rPr>
          <w:rFonts w:ascii="宋体" w:hAnsi="宋体" w:hint="eastAsia"/>
          <w:color w:val="000000"/>
          <w:sz w:val="24"/>
        </w:rPr>
        <w:t>及</w:t>
      </w:r>
      <w:r>
        <w:rPr>
          <w:rFonts w:ascii="宋体" w:hAnsi="宋体" w:hint="eastAsia"/>
          <w:color w:val="000000"/>
          <w:sz w:val="24"/>
        </w:rPr>
        <w:t>其它为保障空调正常运行所采取必要的保养工作。</w:t>
      </w:r>
    </w:p>
    <w:p w:rsidR="00211D75" w:rsidRDefault="00211D75" w:rsidP="00211D75">
      <w:pPr>
        <w:tabs>
          <w:tab w:val="center" w:pos="4706"/>
          <w:tab w:val="left" w:pos="7080"/>
        </w:tabs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</w:p>
    <w:p w:rsidR="00211D75" w:rsidRDefault="00211D75" w:rsidP="00211D75">
      <w:pPr>
        <w:widowControl/>
        <w:adjustRightInd w:val="0"/>
        <w:snapToGrid w:val="0"/>
        <w:spacing w:line="440" w:lineRule="exact"/>
        <w:ind w:firstLine="480"/>
        <w:jc w:val="left"/>
        <w:rPr>
          <w:rFonts w:ascii="宋体" w:hAnsi="宋体"/>
          <w:sz w:val="24"/>
        </w:rPr>
      </w:pPr>
    </w:p>
    <w:p w:rsidR="00211D75" w:rsidRDefault="00211D75" w:rsidP="00211D7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二、投标报价</w:t>
      </w:r>
    </w:p>
    <w:p w:rsidR="00211D75" w:rsidRDefault="00211D75" w:rsidP="00211D75">
      <w:pPr>
        <w:pStyle w:val="a5"/>
        <w:spacing w:line="360" w:lineRule="auto"/>
        <w:ind w:firstLineChars="200" w:firstLine="480"/>
        <w:rPr>
          <w:rFonts w:hAnsi="宋体" w:cs="Times New Roman"/>
          <w:color w:val="000000"/>
          <w:sz w:val="24"/>
        </w:rPr>
      </w:pPr>
      <w:r>
        <w:rPr>
          <w:rFonts w:hAnsi="宋体" w:cs="Times New Roman" w:hint="eastAsia"/>
          <w:sz w:val="24"/>
        </w:rPr>
        <w:t>本项目投标报价</w:t>
      </w:r>
      <w:r w:rsidR="009D380B">
        <w:rPr>
          <w:rFonts w:hAnsi="宋体" w:cs="Times New Roman" w:hint="eastAsia"/>
          <w:color w:val="000000"/>
          <w:sz w:val="24"/>
        </w:rPr>
        <w:t>包含完成该项目所需的</w:t>
      </w:r>
      <w:r>
        <w:rPr>
          <w:rFonts w:hAnsi="宋体" w:cs="Times New Roman" w:hint="eastAsia"/>
          <w:color w:val="000000"/>
          <w:sz w:val="24"/>
        </w:rPr>
        <w:t>所有费用。</w:t>
      </w:r>
      <w:r w:rsidR="00BE1090">
        <w:rPr>
          <w:rFonts w:hAnsi="宋体" w:cs="Times New Roman" w:hint="eastAsia"/>
          <w:color w:val="000000"/>
          <w:sz w:val="24"/>
        </w:rPr>
        <w:t>供应商需按空调机组、风管、风机盘管三个清洗类别分别报出单价，并按数量计算总价。</w:t>
      </w:r>
    </w:p>
    <w:p w:rsidR="00211D75" w:rsidRDefault="00211D75" w:rsidP="00211D7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D3094" w:rsidRDefault="00211D75" w:rsidP="006B5487">
      <w:pPr>
        <w:adjustRightInd w:val="0"/>
        <w:snapToGrid w:val="0"/>
        <w:spacing w:line="440" w:lineRule="exact"/>
        <w:rPr>
          <w:rFonts w:ascii="宋体" w:hAnsi="宋体"/>
          <w:b/>
          <w:sz w:val="24"/>
        </w:rPr>
      </w:pPr>
      <w:bookmarkStart w:id="0" w:name="_Toc329591175"/>
      <w:r>
        <w:rPr>
          <w:rFonts w:ascii="宋体" w:hAnsi="宋体" w:hint="eastAsia"/>
          <w:b/>
          <w:sz w:val="24"/>
        </w:rPr>
        <w:t>三、</w:t>
      </w:r>
      <w:bookmarkEnd w:id="0"/>
      <w:r>
        <w:rPr>
          <w:rFonts w:ascii="宋体" w:hAnsi="宋体" w:hint="eastAsia"/>
          <w:b/>
          <w:sz w:val="24"/>
        </w:rPr>
        <w:t>采购清单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8"/>
        <w:gridCol w:w="2800"/>
        <w:gridCol w:w="2147"/>
        <w:gridCol w:w="2147"/>
      </w:tblGrid>
      <w:tr w:rsidR="00FD3094" w:rsidTr="006B5487">
        <w:trPr>
          <w:trHeight w:val="150"/>
          <w:jc w:val="center"/>
        </w:trPr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Pr="00FD3094" w:rsidRDefault="00FD3094" w:rsidP="006B54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D309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Pr="00FD3094" w:rsidRDefault="00FD3094" w:rsidP="006B54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D309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清洗项目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Pr="00FD3094" w:rsidRDefault="00FD3094" w:rsidP="006B54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D309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Pr="00FD3094" w:rsidRDefault="00FD3094" w:rsidP="006B54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D309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</w:tr>
      <w:tr w:rsidR="00FD3094" w:rsidTr="006B5487">
        <w:trPr>
          <w:trHeight w:val="150"/>
          <w:jc w:val="center"/>
        </w:trPr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6B5487" w:rsidP="006B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滨江</w:t>
            </w: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空调机组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270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</w:tr>
      <w:tr w:rsidR="00FD3094" w:rsidTr="006B5487">
        <w:trPr>
          <w:trHeight w:val="150"/>
          <w:jc w:val="center"/>
        </w:trPr>
        <w:tc>
          <w:tcPr>
            <w:tcW w:w="12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风管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21413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FD3094" w:rsidTr="006B5487">
        <w:trPr>
          <w:trHeight w:val="150"/>
          <w:jc w:val="center"/>
        </w:trPr>
        <w:tc>
          <w:tcPr>
            <w:tcW w:w="12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风机盘管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1768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D3094" w:rsidRDefault="00FD3094" w:rsidP="006B548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</w:tr>
      <w:tr w:rsidR="006B5487" w:rsidTr="006B5487">
        <w:trPr>
          <w:trHeight w:val="150"/>
          <w:jc w:val="center"/>
        </w:trPr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湖滨</w:t>
            </w: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空调机组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0523C8" w:rsidRDefault="000523C8" w:rsidP="006B54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0523C8"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</w:tr>
      <w:tr w:rsidR="006B5487" w:rsidTr="006B5487">
        <w:trPr>
          <w:trHeight w:val="150"/>
          <w:jc w:val="center"/>
        </w:trPr>
        <w:tc>
          <w:tcPr>
            <w:tcW w:w="12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风管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0523C8" w:rsidRDefault="000523C8" w:rsidP="006B54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0523C8">
              <w:rPr>
                <w:rFonts w:ascii="宋体" w:hAnsi="宋体" w:cs="宋体" w:hint="eastAsia"/>
                <w:sz w:val="24"/>
              </w:rPr>
              <w:t>5725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6B5487" w:rsidTr="006B5487">
        <w:trPr>
          <w:trHeight w:val="150"/>
          <w:jc w:val="center"/>
        </w:trPr>
        <w:tc>
          <w:tcPr>
            <w:tcW w:w="12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风机盘管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0523C8" w:rsidRDefault="000523C8" w:rsidP="006B5487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0523C8">
              <w:rPr>
                <w:rFonts w:ascii="宋体" w:hAnsi="宋体" w:cs="宋体" w:hint="eastAsia"/>
                <w:sz w:val="24"/>
              </w:rPr>
              <w:t>940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6B5487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</w:tr>
      <w:tr w:rsidR="006B5487" w:rsidRPr="00FD3094" w:rsidTr="00F1354E">
        <w:trPr>
          <w:trHeight w:val="150"/>
          <w:jc w:val="center"/>
        </w:trPr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FD3094" w:rsidRDefault="006B5487" w:rsidP="00F135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D309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FD3094" w:rsidRDefault="006B5487" w:rsidP="00F135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FD309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清洗项目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0523C8" w:rsidRDefault="006B5487" w:rsidP="00F135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0523C8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FD3094" w:rsidRDefault="006B5487" w:rsidP="00F135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FD3094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</w:tr>
      <w:tr w:rsidR="006B5487" w:rsidTr="00F1354E">
        <w:trPr>
          <w:trHeight w:val="150"/>
          <w:jc w:val="center"/>
        </w:trPr>
        <w:tc>
          <w:tcPr>
            <w:tcW w:w="125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空调机组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0523C8" w:rsidRDefault="000523C8" w:rsidP="00F135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310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</w:tr>
      <w:tr w:rsidR="006B5487" w:rsidTr="00F1354E">
        <w:trPr>
          <w:trHeight w:val="150"/>
          <w:jc w:val="center"/>
        </w:trPr>
        <w:tc>
          <w:tcPr>
            <w:tcW w:w="12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风管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0523C8" w:rsidRDefault="000523C8" w:rsidP="00F135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27138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m</w:t>
            </w:r>
            <w:r>
              <w:rPr>
                <w:rFonts w:ascii="宋体" w:hAnsi="宋体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6B5487" w:rsidTr="00F1354E">
        <w:trPr>
          <w:trHeight w:val="150"/>
          <w:jc w:val="center"/>
        </w:trPr>
        <w:tc>
          <w:tcPr>
            <w:tcW w:w="125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风机盘管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Pr="000523C8" w:rsidRDefault="000523C8" w:rsidP="00F1354E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2708</w:t>
            </w:r>
          </w:p>
        </w:tc>
        <w:tc>
          <w:tcPr>
            <w:tcW w:w="21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487" w:rsidRDefault="006B5487" w:rsidP="00F1354E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</w:tr>
    </w:tbl>
    <w:p w:rsidR="00211D75" w:rsidRDefault="00211D75" w:rsidP="005912CA">
      <w:pPr>
        <w:pStyle w:val="a6"/>
        <w:adjustRightInd w:val="0"/>
        <w:snapToGrid w:val="0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32D91">
        <w:rPr>
          <w:rFonts w:ascii="宋体" w:eastAsia="宋体" w:hAnsi="宋体" w:hint="eastAsia"/>
          <w:b/>
          <w:sz w:val="24"/>
          <w:szCs w:val="24"/>
        </w:rPr>
        <w:t>以上清洗量为预估清洗量，</w:t>
      </w:r>
      <w:r w:rsidR="00862F45">
        <w:rPr>
          <w:rFonts w:ascii="宋体" w:eastAsia="宋体" w:hAnsi="宋体" w:hint="eastAsia"/>
          <w:b/>
          <w:sz w:val="24"/>
          <w:szCs w:val="24"/>
        </w:rPr>
        <w:t>医院</w:t>
      </w:r>
      <w:r w:rsidRPr="00132D91">
        <w:rPr>
          <w:rFonts w:ascii="宋体" w:eastAsia="宋体" w:hAnsi="宋体" w:hint="eastAsia"/>
          <w:b/>
          <w:sz w:val="24"/>
          <w:szCs w:val="24"/>
        </w:rPr>
        <w:t>对最终实际清洗</w:t>
      </w:r>
      <w:r>
        <w:rPr>
          <w:rFonts w:ascii="宋体" w:eastAsia="宋体" w:hAnsi="宋体" w:hint="eastAsia"/>
          <w:b/>
          <w:sz w:val="24"/>
          <w:szCs w:val="24"/>
        </w:rPr>
        <w:t>量</w:t>
      </w:r>
      <w:r w:rsidRPr="00132D91">
        <w:rPr>
          <w:rFonts w:ascii="宋体" w:eastAsia="宋体" w:hAnsi="宋体" w:hint="eastAsia"/>
          <w:b/>
          <w:sz w:val="24"/>
          <w:szCs w:val="24"/>
        </w:rPr>
        <w:t>不做保证。</w:t>
      </w:r>
    </w:p>
    <w:p w:rsidR="009D380B" w:rsidRPr="00132D91" w:rsidRDefault="009D380B" w:rsidP="00211D75">
      <w:pPr>
        <w:pStyle w:val="a6"/>
        <w:adjustRightInd w:val="0"/>
        <w:snapToGrid w:val="0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:rsidR="00211D75" w:rsidRDefault="00211D75" w:rsidP="00211D75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>
        <w:rPr>
          <w:rFonts w:ascii="宋体" w:hAnsi="宋体" w:cs="宋体" w:hint="eastAsia"/>
          <w:b/>
          <w:bCs/>
          <w:sz w:val="24"/>
        </w:rPr>
        <w:t>服务要求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1、服务期间应遵守采购人的各项规章制度，不得影响采购人设备的正常使</w:t>
      </w:r>
      <w:r>
        <w:rPr>
          <w:rFonts w:ascii="宋体" w:hAnsi="宋体" w:hint="eastAsia"/>
          <w:color w:val="000000"/>
          <w:sz w:val="24"/>
        </w:rPr>
        <w:lastRenderedPageBreak/>
        <w:t>用和相关科室的正常工作。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2、提供良好的技术人员和工具仪器，最佳的服务质量和态度，并认真填写运行报告，使设备处于良好运行状态和干净整洁状态。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3、每次</w:t>
      </w:r>
      <w:r w:rsidR="001B1751">
        <w:rPr>
          <w:rFonts w:ascii="宋体" w:hAnsi="宋体" w:hint="eastAsia"/>
          <w:color w:val="000000"/>
          <w:sz w:val="24"/>
        </w:rPr>
        <w:t>清洗消毒</w:t>
      </w:r>
      <w:r>
        <w:rPr>
          <w:rFonts w:ascii="宋体" w:hAnsi="宋体" w:hint="eastAsia"/>
          <w:color w:val="000000"/>
          <w:sz w:val="24"/>
        </w:rPr>
        <w:t>结束后，供应商须及时清理现场，并将清洗产生的废弃物带离。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4、供应商在</w:t>
      </w:r>
      <w:r w:rsidR="001B1751">
        <w:rPr>
          <w:rFonts w:ascii="宋体" w:hAnsi="宋体" w:hint="eastAsia"/>
          <w:color w:val="000000"/>
          <w:sz w:val="24"/>
        </w:rPr>
        <w:t>清洗消毒</w:t>
      </w:r>
      <w:r>
        <w:rPr>
          <w:rFonts w:ascii="宋体" w:hAnsi="宋体" w:hint="eastAsia"/>
          <w:color w:val="000000"/>
          <w:sz w:val="24"/>
        </w:rPr>
        <w:t>过程中若发现设备故障隐患应及时向采购人汇报并提出建议。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5、必须按照其对该项目的承诺和相应的技术标准、规范进行清洗和操作。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t>6、按时上门现场清洗，工作内容和质量由采购人相关人员确认，作为结算依据之一。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7、清洗前供应商须对清洗的设备进行检查，若存在故障或其它问题报采购人备案后方可进行清洗工作；如不及时报备视作该设备正常。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服务期间供应商须确保合同范围的所有设备能正常使用，因供应商原因造成双方或第三方损失的，由供应商负全责赔偿；因供应商施工造成的对采购人中央空调系统的漏水和效果不好，由供应商负责修复。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8、供应商</w:t>
      </w:r>
      <w:r>
        <w:rPr>
          <w:rFonts w:ascii="宋体" w:hAnsi="宋体" w:hint="eastAsia"/>
          <w:sz w:val="24"/>
        </w:rPr>
        <w:t>负责联系浙江省疾控中心认可的第三方机构进行</w:t>
      </w:r>
      <w:r>
        <w:rPr>
          <w:rFonts w:ascii="宋体" w:hAnsi="宋体" w:hint="eastAsia"/>
          <w:color w:val="000000"/>
          <w:sz w:val="24"/>
        </w:rPr>
        <w:t>项目检测，并出具检测报告，检测费用由供应商支付。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9、供应商应强化安全意识，做好施工安全工作：供应商违反安全作业的原则，引发的人身伤亡及财产损失事故的责任由供应商承担；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10、作业前对人员的身体状况进行检查，患病、饮酒及其它身体不适者不得施工；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11、作业前供应商管理人员亦应对清洁用品、用具进行安全检查，对员工的安全措施是否完善、妥当进行检查；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12、发现有易燃、易爆隐患、易污染的应在隐患消除后方可作业；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13、供应商作业人员必须持证上岗，配合院方做好清洁安排，进行作业时必须佩戴采购人提供的工作证。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14、使用录像设备对采购人的通风管道进行施工前和施工后的录像，并存档作为验收的依据；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15、新风机组和风机盘管的清洗消毒含进回风管和风口清洗；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16、供应商使用的所有清洗耗材必须提供相应的合格证。</w:t>
      </w:r>
    </w:p>
    <w:p w:rsidR="00211D75" w:rsidRDefault="00211D75" w:rsidP="00AF27C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17、未说明之处均按</w:t>
      </w:r>
      <w:r w:rsidR="00B3068C">
        <w:rPr>
          <w:rFonts w:ascii="宋体" w:hAnsi="宋体" w:hint="eastAsia"/>
          <w:color w:val="000000"/>
          <w:sz w:val="24"/>
        </w:rPr>
        <w:t>《</w:t>
      </w:r>
      <w:r w:rsidR="00AF27C1" w:rsidRPr="00AF27C1">
        <w:rPr>
          <w:rFonts w:ascii="宋体" w:hAnsi="宋体" w:hint="eastAsia"/>
          <w:color w:val="000000"/>
          <w:sz w:val="24"/>
        </w:rPr>
        <w:t>新冠肺炎流行期间办公场所和公共场所空调通风系统运行管理指南</w:t>
      </w:r>
      <w:r w:rsidR="00B3068C">
        <w:rPr>
          <w:rFonts w:ascii="宋体" w:hAnsi="宋体" w:hint="eastAsia"/>
          <w:color w:val="000000"/>
          <w:sz w:val="24"/>
        </w:rPr>
        <w:t>》及</w:t>
      </w:r>
      <w:r>
        <w:rPr>
          <w:rFonts w:ascii="宋体" w:hAnsi="宋体" w:hint="eastAsia"/>
          <w:color w:val="000000"/>
          <w:sz w:val="24"/>
        </w:rPr>
        <w:t>卫生部印发的</w:t>
      </w:r>
      <w:r w:rsidR="00B3068C">
        <w:rPr>
          <w:rFonts w:ascii="宋体" w:hAnsi="宋体"/>
          <w:color w:val="000000"/>
          <w:sz w:val="24"/>
        </w:rPr>
        <w:t>WS/T396</w:t>
      </w:r>
      <w:r w:rsidR="00B3068C">
        <w:rPr>
          <w:rFonts w:ascii="宋体" w:hAnsi="宋体" w:hint="eastAsia"/>
          <w:color w:val="000000"/>
          <w:sz w:val="24"/>
        </w:rPr>
        <w:t>-2012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公共场所集中空调通风系统清洗消毒规范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执行。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18、供应商必须选用的消毒剂为无毒、环保产品。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19、每次区域清洗结束后供应商应提供新风机组和风机盘管的清洗数据，经采购人签字确认后作为结算依据。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20、每次清洗结束供应商需在每个积水盘放置适量的消毒片剂。</w:t>
      </w:r>
    </w:p>
    <w:p w:rsidR="00211D75" w:rsidRDefault="00211D75" w:rsidP="00211D7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211D75" w:rsidRDefault="00211D75" w:rsidP="00211D75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bookmarkStart w:id="1" w:name="_Toc389674677"/>
      <w:r>
        <w:rPr>
          <w:rFonts w:ascii="宋体" w:hAnsi="宋体" w:cs="宋体" w:hint="eastAsia"/>
          <w:b/>
          <w:color w:val="000000"/>
          <w:kern w:val="0"/>
          <w:sz w:val="24"/>
        </w:rPr>
        <w:t>五、</w:t>
      </w:r>
      <w:bookmarkEnd w:id="1"/>
      <w:r>
        <w:rPr>
          <w:rFonts w:ascii="宋体" w:hAnsi="宋体" w:cs="宋体" w:hint="eastAsia"/>
          <w:b/>
          <w:color w:val="000000"/>
          <w:kern w:val="0"/>
          <w:sz w:val="24"/>
        </w:rPr>
        <w:t>工期</w:t>
      </w:r>
      <w:r>
        <w:rPr>
          <w:rFonts w:ascii="宋体" w:hAnsi="宋体" w:hint="eastAsia"/>
          <w:b/>
          <w:sz w:val="24"/>
        </w:rPr>
        <w:t>要求</w:t>
      </w:r>
    </w:p>
    <w:p w:rsidR="009D380B" w:rsidRPr="009D380B" w:rsidRDefault="00211D75" w:rsidP="00211D7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每次清洗要求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天内完成并通过相关卫生学检测</w:t>
      </w:r>
      <w:r w:rsidR="009D380B">
        <w:rPr>
          <w:rFonts w:hint="eastAsia"/>
          <w:sz w:val="24"/>
        </w:rPr>
        <w:t>。</w:t>
      </w:r>
    </w:p>
    <w:p w:rsidR="00D73151" w:rsidRDefault="00D73151" w:rsidP="00211D75">
      <w:pPr>
        <w:tabs>
          <w:tab w:val="left" w:pos="6390"/>
        </w:tabs>
      </w:pPr>
    </w:p>
    <w:p w:rsidR="009D380B" w:rsidRPr="00907405" w:rsidRDefault="009D380B" w:rsidP="00907405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907405">
        <w:rPr>
          <w:rFonts w:ascii="宋体" w:hAnsi="宋体" w:hint="eastAsia"/>
          <w:b/>
          <w:sz w:val="24"/>
        </w:rPr>
        <w:t>六、支付方式</w:t>
      </w:r>
    </w:p>
    <w:p w:rsidR="009D380B" w:rsidRPr="00907405" w:rsidRDefault="00907405" w:rsidP="00907405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每批次清洗消毒服务完成后，乙方提供</w:t>
      </w:r>
      <w:r w:rsidR="001B1751">
        <w:rPr>
          <w:rFonts w:hint="eastAsia"/>
          <w:sz w:val="24"/>
        </w:rPr>
        <w:t>甲方签字的</w:t>
      </w:r>
      <w:r>
        <w:rPr>
          <w:rFonts w:hint="eastAsia"/>
          <w:sz w:val="24"/>
        </w:rPr>
        <w:t>清洗消毒验收单和工程量清单，经甲方验证后，收到乙方开具正规发票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日内支付，按实际清洗消毒量结算。</w:t>
      </w:r>
    </w:p>
    <w:sectPr w:rsidR="009D380B" w:rsidRPr="00907405" w:rsidSect="00BF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2A" w:rsidRDefault="00B4282A" w:rsidP="00211D75">
      <w:r>
        <w:separator/>
      </w:r>
    </w:p>
  </w:endnote>
  <w:endnote w:type="continuationSeparator" w:id="1">
    <w:p w:rsidR="00B4282A" w:rsidRDefault="00B4282A" w:rsidP="0021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2A" w:rsidRDefault="00B4282A" w:rsidP="00211D75">
      <w:r>
        <w:separator/>
      </w:r>
    </w:p>
  </w:footnote>
  <w:footnote w:type="continuationSeparator" w:id="1">
    <w:p w:rsidR="00B4282A" w:rsidRDefault="00B4282A" w:rsidP="00211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0D0CEB"/>
    <w:multiLevelType w:val="multilevel"/>
    <w:tmpl w:val="A170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D75"/>
    <w:rsid w:val="00003840"/>
    <w:rsid w:val="000523C8"/>
    <w:rsid w:val="000D7E86"/>
    <w:rsid w:val="001B1751"/>
    <w:rsid w:val="00211D75"/>
    <w:rsid w:val="002638CA"/>
    <w:rsid w:val="003A5D30"/>
    <w:rsid w:val="00462277"/>
    <w:rsid w:val="004C5C11"/>
    <w:rsid w:val="005766A1"/>
    <w:rsid w:val="005912CA"/>
    <w:rsid w:val="006B5487"/>
    <w:rsid w:val="00846A6A"/>
    <w:rsid w:val="00862F45"/>
    <w:rsid w:val="00907405"/>
    <w:rsid w:val="009D380B"/>
    <w:rsid w:val="00A04A2C"/>
    <w:rsid w:val="00AF27C1"/>
    <w:rsid w:val="00B13E91"/>
    <w:rsid w:val="00B21013"/>
    <w:rsid w:val="00B3068C"/>
    <w:rsid w:val="00B4282A"/>
    <w:rsid w:val="00B755D5"/>
    <w:rsid w:val="00BE1090"/>
    <w:rsid w:val="00BF08B8"/>
    <w:rsid w:val="00D73151"/>
    <w:rsid w:val="00EA6644"/>
    <w:rsid w:val="00F74E82"/>
    <w:rsid w:val="00FD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211D75"/>
    <w:pPr>
      <w:keepNext/>
      <w:keepLines/>
      <w:tabs>
        <w:tab w:val="left" w:pos="432"/>
        <w:tab w:val="num" w:pos="720"/>
      </w:tabs>
      <w:spacing w:before="340" w:after="330" w:line="578" w:lineRule="auto"/>
      <w:ind w:left="720" w:hanging="72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D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1D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纯文本 Char1"/>
    <w:link w:val="a5"/>
    <w:rsid w:val="00211D75"/>
    <w:rPr>
      <w:rFonts w:ascii="宋体" w:eastAsia="宋体" w:hAnsi="Courier New"/>
    </w:rPr>
  </w:style>
  <w:style w:type="character" w:customStyle="1" w:styleId="1Char1">
    <w:name w:val="标题 1 Char1"/>
    <w:link w:val="1"/>
    <w:rsid w:val="00211D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 Spacing"/>
    <w:qFormat/>
    <w:rsid w:val="00211D75"/>
    <w:rPr>
      <w:rFonts w:ascii="Times New Roman" w:eastAsia="Times New Roman" w:hAnsi="Times New Roman" w:cs="Times New Roman"/>
      <w:kern w:val="0"/>
      <w:sz w:val="22"/>
    </w:rPr>
  </w:style>
  <w:style w:type="paragraph" w:styleId="a5">
    <w:name w:val="Plain Text"/>
    <w:basedOn w:val="a"/>
    <w:link w:val="Char1"/>
    <w:rsid w:val="00211D75"/>
    <w:rPr>
      <w:rFonts w:ascii="宋体" w:hAnsi="Courier New" w:cstheme="minorBidi"/>
      <w:szCs w:val="22"/>
    </w:rPr>
  </w:style>
  <w:style w:type="character" w:customStyle="1" w:styleId="Char2">
    <w:name w:val="纯文本 Char"/>
    <w:basedOn w:val="a0"/>
    <w:link w:val="a5"/>
    <w:uiPriority w:val="99"/>
    <w:semiHidden/>
    <w:rsid w:val="00211D7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18</cp:revision>
  <dcterms:created xsi:type="dcterms:W3CDTF">2020-07-02T07:25:00Z</dcterms:created>
  <dcterms:modified xsi:type="dcterms:W3CDTF">2020-07-10T07:11:00Z</dcterms:modified>
</cp:coreProperties>
</file>