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14" w:rsidRDefault="00F117B3">
      <w:pPr>
        <w:snapToGrid w:val="0"/>
        <w:spacing w:line="360" w:lineRule="auto"/>
        <w:jc w:val="center"/>
        <w:outlineLvl w:val="0"/>
        <w:rPr>
          <w:rFonts w:asciiTheme="minorEastAsia" w:eastAsiaTheme="minorEastAsia" w:hAnsiTheme="minorEastAsia"/>
          <w:b/>
          <w:sz w:val="30"/>
        </w:rPr>
      </w:pPr>
      <w:bookmarkStart w:id="0" w:name="_GoBack"/>
      <w:bookmarkEnd w:id="0"/>
      <w:r>
        <w:rPr>
          <w:rFonts w:asciiTheme="minorEastAsia" w:eastAsiaTheme="minorEastAsia" w:hAnsiTheme="minorEastAsia" w:hint="eastAsia"/>
          <w:b/>
          <w:sz w:val="30"/>
        </w:rPr>
        <w:t>采购内容及需求</w:t>
      </w:r>
    </w:p>
    <w:p w:rsidR="00AB1F14" w:rsidRDefault="00F117B3" w:rsidP="0019692D">
      <w:pPr>
        <w:spacing w:beforeLines="50" w:afterLines="50" w:line="360" w:lineRule="auto"/>
        <w:ind w:firstLine="495"/>
        <w:rPr>
          <w:rFonts w:asciiTheme="minorEastAsia" w:eastAsiaTheme="minorEastAsia" w:hAnsiTheme="minorEastAsia"/>
          <w:b/>
          <w:sz w:val="24"/>
        </w:rPr>
      </w:pPr>
      <w:r>
        <w:rPr>
          <w:rFonts w:asciiTheme="minorEastAsia" w:eastAsiaTheme="minorEastAsia" w:hAnsiTheme="minorEastAsia" w:hint="eastAsia"/>
          <w:b/>
          <w:sz w:val="24"/>
        </w:rPr>
        <w:t>一、项目概况</w:t>
      </w:r>
    </w:p>
    <w:p w:rsidR="00AB1F14" w:rsidRDefault="00F117B3" w:rsidP="0019692D">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本次招标是浙江大学医学院附属儿童医院湖滨院区外立面院名标识制作工程。要求投标人的投标货物必须是合格的产品，所采用的材料优良、质量上乘，原材料、辅料、成品均须符合相应的国家标准和行业标准的要求，美观、牢固、耐用。</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2、环境条件</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安装和使用地点：浙江大学医学院附属儿童医院湖滨院区，采购人指定地点。</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3、技术标准和规范</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投标产品应达到或优于国家和行业的最新技术标准和规范。</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材料选用应符合国家规定的环保要求。</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4、其他要求</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人不组织现场踏勘，投标人应自行对项目现场和周围环境进行踏勘和了解，以获取有关编制响应文件和签署合同所需的各种资料，并应充分考虑影响本次投标报价的因素、预计实施过程中各种不利因素，由此可能发生的费用均由投标人考虑并包含在投标报价中。中标后，投标人不得再以不完全了解现场情况等为理由而提出额外付款或延长工期等的要求，若有此类要求，采购人将不作任何答复与考虑，投标人应承担现场踏勘的责任和风险，踏勘现场的费用由投标人自行承担。</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5、货物总体要求</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投标人提供的货物必须是全新的，性能、指标符合国家及采购文件提出的有关技术、质量、安全标准。</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产品的生产和安装必须由</w:t>
      </w:r>
      <w:r>
        <w:rPr>
          <w:rFonts w:asciiTheme="minorEastAsia" w:eastAsiaTheme="minorEastAsia" w:hAnsiTheme="minorEastAsia" w:hint="eastAsia"/>
          <w:sz w:val="24"/>
        </w:rPr>
        <w:t>中标</w:t>
      </w:r>
      <w:r>
        <w:rPr>
          <w:rFonts w:asciiTheme="minorEastAsia" w:eastAsiaTheme="minorEastAsia" w:hAnsiTheme="minorEastAsia"/>
          <w:sz w:val="24"/>
        </w:rPr>
        <w:t>人负责实施，</w:t>
      </w:r>
      <w:r>
        <w:rPr>
          <w:rFonts w:asciiTheme="minorEastAsia" w:eastAsiaTheme="minorEastAsia" w:hAnsiTheme="minorEastAsia" w:hint="eastAsia"/>
          <w:sz w:val="24"/>
        </w:rPr>
        <w:t>采购人</w:t>
      </w:r>
      <w:r>
        <w:rPr>
          <w:rFonts w:asciiTheme="minorEastAsia" w:eastAsiaTheme="minorEastAsia" w:hAnsiTheme="minorEastAsia"/>
          <w:sz w:val="24"/>
        </w:rPr>
        <w:t>将不定期对</w:t>
      </w:r>
      <w:r>
        <w:rPr>
          <w:rFonts w:asciiTheme="minorEastAsia" w:eastAsiaTheme="minorEastAsia" w:hAnsiTheme="minorEastAsia" w:hint="eastAsia"/>
          <w:sz w:val="24"/>
        </w:rPr>
        <w:t>中标</w:t>
      </w:r>
      <w:r>
        <w:rPr>
          <w:rFonts w:asciiTheme="minorEastAsia" w:eastAsiaTheme="minorEastAsia" w:hAnsiTheme="minorEastAsia"/>
          <w:sz w:val="24"/>
        </w:rPr>
        <w:t>人的生产</w:t>
      </w:r>
      <w:r>
        <w:rPr>
          <w:rFonts w:asciiTheme="minorEastAsia" w:eastAsiaTheme="minorEastAsia" w:hAnsiTheme="minorEastAsia" w:hint="eastAsia"/>
          <w:sz w:val="24"/>
        </w:rPr>
        <w:t>和安装</w:t>
      </w:r>
      <w:r>
        <w:rPr>
          <w:rFonts w:asciiTheme="minorEastAsia" w:eastAsiaTheme="minorEastAsia" w:hAnsiTheme="minorEastAsia"/>
          <w:sz w:val="24"/>
        </w:rPr>
        <w:t>过程进行质量和工艺的监督</w:t>
      </w:r>
      <w:r>
        <w:rPr>
          <w:rFonts w:asciiTheme="minorEastAsia" w:eastAsiaTheme="minorEastAsia" w:hAnsiTheme="minorEastAsia" w:hint="eastAsia"/>
          <w:sz w:val="24"/>
        </w:rPr>
        <w:t>，</w:t>
      </w:r>
      <w:r>
        <w:rPr>
          <w:rFonts w:asciiTheme="minorEastAsia" w:eastAsiaTheme="minorEastAsia" w:hAnsiTheme="minorEastAsia"/>
          <w:sz w:val="24"/>
        </w:rPr>
        <w:t>一旦发现</w:t>
      </w:r>
      <w:r>
        <w:rPr>
          <w:rFonts w:asciiTheme="minorEastAsia" w:eastAsiaTheme="minorEastAsia" w:hAnsiTheme="minorEastAsia" w:hint="eastAsia"/>
          <w:sz w:val="24"/>
        </w:rPr>
        <w:t>中标</w:t>
      </w:r>
      <w:r>
        <w:rPr>
          <w:rFonts w:asciiTheme="minorEastAsia" w:eastAsiaTheme="minorEastAsia" w:hAnsiTheme="minorEastAsia"/>
          <w:sz w:val="24"/>
        </w:rPr>
        <w:t>人有违背</w:t>
      </w:r>
      <w:r>
        <w:rPr>
          <w:rFonts w:asciiTheme="minorEastAsia" w:eastAsiaTheme="minorEastAsia" w:hAnsiTheme="minorEastAsia" w:hint="eastAsia"/>
          <w:sz w:val="24"/>
        </w:rPr>
        <w:t>采购文件要求、</w:t>
      </w:r>
      <w:r>
        <w:rPr>
          <w:rFonts w:asciiTheme="minorEastAsia" w:eastAsiaTheme="minorEastAsia" w:hAnsiTheme="minorEastAsia"/>
          <w:sz w:val="24"/>
        </w:rPr>
        <w:t>合同的情况，</w:t>
      </w:r>
      <w:r>
        <w:rPr>
          <w:rFonts w:asciiTheme="minorEastAsia" w:eastAsiaTheme="minorEastAsia" w:hAnsiTheme="minorEastAsia" w:hint="eastAsia"/>
          <w:sz w:val="24"/>
        </w:rPr>
        <w:t>采购人有权要求中标</w:t>
      </w:r>
      <w:r>
        <w:rPr>
          <w:rFonts w:asciiTheme="minorEastAsia" w:eastAsiaTheme="minorEastAsia" w:hAnsiTheme="minorEastAsia"/>
          <w:sz w:val="24"/>
        </w:rPr>
        <w:t>人</w:t>
      </w:r>
      <w:r>
        <w:rPr>
          <w:rFonts w:asciiTheme="minorEastAsia" w:eastAsiaTheme="minorEastAsia" w:hAnsiTheme="minorEastAsia" w:hint="eastAsia"/>
          <w:sz w:val="24"/>
        </w:rPr>
        <w:t>停止生产，拒收不合格货物，必要时</w:t>
      </w:r>
      <w:r>
        <w:rPr>
          <w:rFonts w:asciiTheme="minorEastAsia" w:eastAsiaTheme="minorEastAsia" w:hAnsiTheme="minorEastAsia"/>
          <w:sz w:val="24"/>
        </w:rPr>
        <w:t>中止</w:t>
      </w:r>
      <w:r>
        <w:rPr>
          <w:rFonts w:asciiTheme="minorEastAsia" w:eastAsiaTheme="minorEastAsia" w:hAnsiTheme="minorEastAsia" w:hint="eastAsia"/>
          <w:sz w:val="24"/>
        </w:rPr>
        <w:t>采购</w:t>
      </w:r>
      <w:r>
        <w:rPr>
          <w:rFonts w:asciiTheme="minorEastAsia" w:eastAsiaTheme="minorEastAsia" w:hAnsiTheme="minorEastAsia"/>
          <w:sz w:val="24"/>
        </w:rPr>
        <w:t>合同，由此造成的损失由</w:t>
      </w:r>
      <w:r>
        <w:rPr>
          <w:rFonts w:asciiTheme="minorEastAsia" w:eastAsiaTheme="minorEastAsia" w:hAnsiTheme="minorEastAsia" w:hint="eastAsia"/>
          <w:sz w:val="24"/>
        </w:rPr>
        <w:t>中标</w:t>
      </w:r>
      <w:r>
        <w:rPr>
          <w:rFonts w:asciiTheme="minorEastAsia" w:eastAsiaTheme="minorEastAsia" w:hAnsiTheme="minorEastAsia"/>
          <w:sz w:val="24"/>
        </w:rPr>
        <w:t>人负责。</w:t>
      </w:r>
    </w:p>
    <w:p w:rsidR="00AB1F14" w:rsidRDefault="00AB1F14" w:rsidP="0019692D">
      <w:pPr>
        <w:spacing w:beforeLines="50" w:afterLines="50" w:line="360" w:lineRule="auto"/>
        <w:ind w:firstLine="495"/>
        <w:rPr>
          <w:rFonts w:asciiTheme="minorEastAsia" w:eastAsiaTheme="minorEastAsia" w:hAnsiTheme="minorEastAsia"/>
          <w:b/>
          <w:sz w:val="24"/>
        </w:rPr>
        <w:sectPr w:rsidR="00AB1F14">
          <w:footerReference w:type="even" r:id="rId7"/>
          <w:footerReference w:type="default" r:id="rId8"/>
          <w:footerReference w:type="first" r:id="rId9"/>
          <w:pgSz w:w="11906" w:h="16838"/>
          <w:pgMar w:top="1247" w:right="1797" w:bottom="1474" w:left="1797" w:header="851" w:footer="851" w:gutter="0"/>
          <w:pgNumType w:start="1" w:chapStyle="1"/>
          <w:cols w:space="720"/>
          <w:docGrid w:linePitch="312"/>
        </w:sectPr>
      </w:pPr>
    </w:p>
    <w:p w:rsidR="00AB1F14" w:rsidRDefault="00F117B3" w:rsidP="0019692D">
      <w:pPr>
        <w:spacing w:beforeLines="50" w:afterLines="50" w:line="360" w:lineRule="auto"/>
        <w:ind w:firstLine="495"/>
        <w:rPr>
          <w:rFonts w:asciiTheme="minorEastAsia" w:eastAsiaTheme="minorEastAsia" w:hAnsiTheme="minorEastAsia"/>
          <w:b/>
          <w:sz w:val="24"/>
        </w:rPr>
      </w:pPr>
      <w:r>
        <w:rPr>
          <w:rFonts w:asciiTheme="minorEastAsia" w:eastAsiaTheme="minorEastAsia" w:hAnsiTheme="minorEastAsia" w:hint="eastAsia"/>
          <w:b/>
          <w:sz w:val="24"/>
        </w:rPr>
        <w:lastRenderedPageBreak/>
        <w:t>二、货物需求及工程量清单</w:t>
      </w:r>
    </w:p>
    <w:tbl>
      <w:tblPr>
        <w:tblW w:w="5573" w:type="pct"/>
        <w:tblInd w:w="-459" w:type="dxa"/>
        <w:tblLayout w:type="fixed"/>
        <w:tblLook w:val="04A0"/>
      </w:tblPr>
      <w:tblGrid>
        <w:gridCol w:w="556"/>
        <w:gridCol w:w="1415"/>
        <w:gridCol w:w="3256"/>
        <w:gridCol w:w="1700"/>
        <w:gridCol w:w="844"/>
        <w:gridCol w:w="424"/>
        <w:gridCol w:w="426"/>
        <w:gridCol w:w="424"/>
        <w:gridCol w:w="454"/>
      </w:tblGrid>
      <w:tr w:rsidR="00AB1F14">
        <w:trPr>
          <w:trHeight w:val="1502"/>
          <w:tblHeader/>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名称</w:t>
            </w:r>
          </w:p>
        </w:tc>
        <w:tc>
          <w:tcPr>
            <w:tcW w:w="1714"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hint="eastAsia"/>
                <w:b/>
                <w:sz w:val="24"/>
              </w:rPr>
              <w:t>工艺及要求</w:t>
            </w:r>
          </w:p>
        </w:tc>
        <w:tc>
          <w:tcPr>
            <w:tcW w:w="895"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规格（mm）</w:t>
            </w:r>
          </w:p>
        </w:tc>
        <w:tc>
          <w:tcPr>
            <w:tcW w:w="444"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Cs/>
                <w:color w:val="000000"/>
                <w:kern w:val="0"/>
                <w:sz w:val="24"/>
              </w:rPr>
              <w:t>（暂定）</w:t>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224" w:type="pct"/>
            <w:tcBorders>
              <w:top w:val="single" w:sz="4" w:space="0" w:color="auto"/>
              <w:bottom w:val="single" w:sz="4" w:space="0" w:color="auto"/>
              <w:right w:val="single" w:sz="4" w:space="0" w:color="auto"/>
            </w:tcBorders>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单价（元）</w:t>
            </w: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金额（元）</w:t>
            </w: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F117B3">
            <w:pPr>
              <w:widowControl/>
              <w:spacing w:line="300" w:lineRule="exact"/>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备注</w:t>
            </w:r>
          </w:p>
        </w:tc>
      </w:tr>
      <w:tr w:rsidR="00AB1F14">
        <w:trPr>
          <w:trHeight w:val="2700"/>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F14" w:rsidRDefault="00F117B3">
            <w:pPr>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发光字</w:t>
            </w:r>
          </w:p>
        </w:tc>
        <w:tc>
          <w:tcPr>
            <w:tcW w:w="1714" w:type="pct"/>
            <w:tcBorders>
              <w:top w:val="nil"/>
              <w:left w:val="single" w:sz="4" w:space="0" w:color="auto"/>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1.0mm厚纯铝板焊接制成，立边100mm，面板表面烤漆处理，</w:t>
            </w:r>
            <w:r>
              <w:rPr>
                <w:rFonts w:ascii="宋体" w:hAnsi="宋体" w:cs="宋体" w:hint="eastAsia"/>
                <w:color w:val="000000"/>
                <w:kern w:val="0"/>
                <w:sz w:val="24"/>
              </w:rPr>
              <w:t>正面1.0不锈钢包边折弯压边条，面板5mm乳白亚克力，</w:t>
            </w:r>
            <w:r>
              <w:rPr>
                <w:rFonts w:asciiTheme="minorEastAsia" w:eastAsiaTheme="minorEastAsia" w:hAnsiTheme="minorEastAsia" w:cs="宋体" w:hint="eastAsia"/>
                <w:color w:val="000000"/>
                <w:kern w:val="0"/>
                <w:sz w:val="24"/>
              </w:rPr>
              <w:br/>
              <w:t>内置LED防水灯，灯间距3cm，防水光源需用环氧树脂做密封防水处理；</w:t>
            </w:r>
            <w:r>
              <w:rPr>
                <w:rFonts w:asciiTheme="minorEastAsia" w:eastAsiaTheme="minorEastAsia" w:hAnsiTheme="minorEastAsia" w:cs="宋体" w:hint="eastAsia"/>
                <w:color w:val="000000"/>
                <w:kern w:val="0"/>
                <w:sz w:val="24"/>
              </w:rPr>
              <w:br/>
              <w:t>安装高度：按现场勘测为准；</w:t>
            </w: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F14" w:rsidRDefault="00F117B3">
            <w:pPr>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1250*1220</w:t>
            </w:r>
          </w:p>
        </w:tc>
        <w:tc>
          <w:tcPr>
            <w:tcW w:w="444"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字面彩色</w:t>
            </w:r>
          </w:p>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透光膜</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国内高端品牌彩色户外透光灯膜，根据字形雕刻黏贴于发光字乳白亚克力面板表面。</w:t>
            </w:r>
          </w:p>
        </w:tc>
        <w:tc>
          <w:tcPr>
            <w:tcW w:w="895"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1250*1220</w:t>
            </w:r>
          </w:p>
        </w:tc>
        <w:tc>
          <w:tcPr>
            <w:tcW w:w="444"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拼接底板</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0.8镀锌铁皮切割折弯烤漆。</w:t>
            </w:r>
          </w:p>
        </w:tc>
        <w:tc>
          <w:tcPr>
            <w:tcW w:w="895"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22000*1818</w:t>
            </w:r>
          </w:p>
        </w:tc>
        <w:tc>
          <w:tcPr>
            <w:tcW w:w="444"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40</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平方米</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底板不锈钢折弯封边</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0.8不锈钢折弯烤漆与底板相同颜色，拼接封边于底板四周。</w:t>
            </w:r>
          </w:p>
        </w:tc>
        <w:tc>
          <w:tcPr>
            <w:tcW w:w="895"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30*30*45000</w:t>
            </w:r>
          </w:p>
        </w:tc>
        <w:tc>
          <w:tcPr>
            <w:tcW w:w="444"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45</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支撑钢架</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墙体凹槽处100*100镀锌方管牛腿支出，牛腿与楼层梁连接处用钢板及高强度螺栓，尽量锚入结构梁中。60*60镀锌方管辅设底板支撑钢架，与支撑牛腿焊接连接，焊接处防锈漆处理。</w:t>
            </w:r>
          </w:p>
        </w:tc>
        <w:tc>
          <w:tcPr>
            <w:tcW w:w="895" w:type="pct"/>
            <w:tcBorders>
              <w:top w:val="nil"/>
              <w:left w:val="nil"/>
              <w:bottom w:val="single" w:sz="4" w:space="0" w:color="auto"/>
              <w:right w:val="single" w:sz="4" w:space="0" w:color="auto"/>
            </w:tcBorders>
            <w:shd w:val="clear" w:color="auto" w:fill="auto"/>
            <w:vAlign w:val="center"/>
          </w:tcPr>
          <w:p w:rsidR="00AB1F14" w:rsidRPr="0019692D" w:rsidRDefault="0019692D">
            <w:pPr>
              <w:widowControl/>
              <w:spacing w:line="3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100*100</w:t>
            </w:r>
            <w:r w:rsidR="00F117B3" w:rsidRPr="0019692D">
              <w:rPr>
                <w:rFonts w:asciiTheme="minorEastAsia" w:eastAsiaTheme="minorEastAsia" w:hAnsiTheme="minorEastAsia" w:cs="宋体" w:hint="eastAsia"/>
                <w:kern w:val="0"/>
                <w:sz w:val="24"/>
              </w:rPr>
              <w:t>及</w:t>
            </w:r>
            <w:r>
              <w:rPr>
                <w:rFonts w:asciiTheme="minorEastAsia" w:eastAsiaTheme="minorEastAsia" w:hAnsiTheme="minorEastAsia" w:cs="宋体" w:hint="eastAsia"/>
                <w:kern w:val="0"/>
                <w:sz w:val="24"/>
              </w:rPr>
              <w:t>60*60</w:t>
            </w:r>
            <w:r w:rsidR="00F117B3" w:rsidRPr="0019692D">
              <w:rPr>
                <w:rFonts w:asciiTheme="minorEastAsia" w:eastAsiaTheme="minorEastAsia" w:hAnsiTheme="minorEastAsia" w:cs="宋体" w:hint="eastAsia"/>
                <w:kern w:val="0"/>
                <w:sz w:val="24"/>
              </w:rPr>
              <w:t>，总尺寸22000*1818</w:t>
            </w:r>
          </w:p>
        </w:tc>
        <w:tc>
          <w:tcPr>
            <w:tcW w:w="444"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40</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平方米</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宋体" w:hAnsi="宋体" w:cs="宋体" w:hint="eastAsia"/>
                <w:color w:val="000000"/>
                <w:kern w:val="0"/>
                <w:sz w:val="24"/>
              </w:rPr>
              <w:t>组装加工费</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宋体" w:hAnsi="宋体" w:cs="宋体" w:hint="eastAsia"/>
                <w:color w:val="000000"/>
                <w:kern w:val="0"/>
                <w:sz w:val="24"/>
              </w:rPr>
              <w:t>字体、底板组装</w:t>
            </w:r>
          </w:p>
        </w:tc>
        <w:tc>
          <w:tcPr>
            <w:tcW w:w="895"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22000*1818</w:t>
            </w:r>
          </w:p>
        </w:tc>
        <w:tc>
          <w:tcPr>
            <w:tcW w:w="444" w:type="pct"/>
            <w:tcBorders>
              <w:top w:val="nil"/>
              <w:left w:val="nil"/>
              <w:bottom w:val="single" w:sz="4" w:space="0" w:color="auto"/>
              <w:right w:val="single" w:sz="4" w:space="0" w:color="auto"/>
            </w:tcBorders>
            <w:shd w:val="clear" w:color="auto" w:fill="auto"/>
            <w:noWrap/>
            <w:vAlign w:val="center"/>
          </w:tcPr>
          <w:p w:rsidR="00AB1F14" w:rsidRPr="0019692D" w:rsidRDefault="00F117B3">
            <w:pPr>
              <w:widowControl/>
              <w:spacing w:line="300" w:lineRule="exact"/>
              <w:jc w:val="center"/>
              <w:rPr>
                <w:rFonts w:asciiTheme="minorEastAsia" w:eastAsiaTheme="minorEastAsia" w:hAnsiTheme="minorEastAsia" w:cs="宋体"/>
                <w:kern w:val="0"/>
                <w:sz w:val="24"/>
              </w:rPr>
            </w:pPr>
            <w:r w:rsidRPr="0019692D">
              <w:rPr>
                <w:rFonts w:asciiTheme="minorEastAsia" w:eastAsiaTheme="minorEastAsia" w:hAnsiTheme="minorEastAsia" w:cs="宋体" w:hint="eastAsia"/>
                <w:kern w:val="0"/>
                <w:sz w:val="24"/>
              </w:rPr>
              <w:t>40</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平方米</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安装费</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高空作业安装</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安全文明</w:t>
            </w:r>
          </w:p>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施工措施</w:t>
            </w:r>
          </w:p>
        </w:tc>
        <w:tc>
          <w:tcPr>
            <w:tcW w:w="1714" w:type="pct"/>
            <w:tcBorders>
              <w:top w:val="nil"/>
              <w:left w:val="nil"/>
              <w:bottom w:val="single" w:sz="4" w:space="0" w:color="auto"/>
              <w:right w:val="single" w:sz="4" w:space="0" w:color="auto"/>
            </w:tcBorders>
            <w:shd w:val="clear" w:color="auto" w:fill="auto"/>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灭火器等文明安全施工措施。</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宋体" w:hAnsi="宋体" w:cs="宋体" w:hint="eastAsia"/>
                <w:color w:val="000000"/>
                <w:kern w:val="0"/>
                <w:sz w:val="24"/>
              </w:rPr>
              <w:t>施工机具</w:t>
            </w:r>
          </w:p>
        </w:tc>
        <w:tc>
          <w:tcPr>
            <w:tcW w:w="171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宋体" w:hAnsi="宋体" w:cs="宋体" w:hint="eastAsia"/>
                <w:color w:val="000000"/>
                <w:kern w:val="0"/>
                <w:sz w:val="24"/>
              </w:rPr>
              <w:t>安装、组装工具</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运输费</w:t>
            </w:r>
          </w:p>
        </w:tc>
        <w:tc>
          <w:tcPr>
            <w:tcW w:w="171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运输工具。</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辅料</w:t>
            </w:r>
          </w:p>
        </w:tc>
        <w:tc>
          <w:tcPr>
            <w:tcW w:w="171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结构胶、螺丝、螺帽、焊丝等消耗辅料。</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配电系统</w:t>
            </w:r>
          </w:p>
        </w:tc>
        <w:tc>
          <w:tcPr>
            <w:tcW w:w="171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防雨不锈钢配电箱，内置空开、定时、华鑫电源适配器。</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w:t>
            </w: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3*2.5电缆</w:t>
            </w:r>
            <w:r>
              <w:rPr>
                <w:rFonts w:asciiTheme="minorEastAsia" w:eastAsiaTheme="minorEastAsia" w:hAnsiTheme="minorEastAsia" w:cs="宋体" w:hint="eastAsia"/>
                <w:color w:val="000000"/>
                <w:kern w:val="0"/>
                <w:sz w:val="24"/>
              </w:rPr>
              <w:lastRenderedPageBreak/>
              <w:t>及PVC套管</w:t>
            </w:r>
          </w:p>
        </w:tc>
        <w:tc>
          <w:tcPr>
            <w:tcW w:w="171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lastRenderedPageBreak/>
              <w:t>电缆线、PVC套管铺设。</w:t>
            </w:r>
          </w:p>
        </w:tc>
        <w:tc>
          <w:tcPr>
            <w:tcW w:w="89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223"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224" w:type="pct"/>
            <w:tcBorders>
              <w:top w:val="single" w:sz="4" w:space="0" w:color="auto"/>
              <w:left w:val="nil"/>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234" w:type="pct"/>
            <w:tcBorders>
              <w:top w:val="single" w:sz="4" w:space="0" w:color="auto"/>
              <w:left w:val="single" w:sz="4" w:space="0" w:color="auto"/>
              <w:bottom w:val="single" w:sz="4" w:space="0" w:color="auto"/>
              <w:right w:val="single" w:sz="4" w:space="0" w:color="auto"/>
            </w:tcBorders>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288"/>
        </w:trPr>
        <w:tc>
          <w:tcPr>
            <w:tcW w:w="293" w:type="pct"/>
            <w:tcBorders>
              <w:top w:val="nil"/>
              <w:left w:val="single" w:sz="4" w:space="0" w:color="auto"/>
              <w:bottom w:val="single" w:sz="4" w:space="0" w:color="auto"/>
              <w:right w:val="single" w:sz="4" w:space="0" w:color="auto"/>
            </w:tcBorders>
            <w:shd w:val="clear" w:color="auto" w:fill="auto"/>
            <w:noWrap/>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c>
          <w:tcPr>
            <w:tcW w:w="745"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总计</w:t>
            </w:r>
          </w:p>
        </w:tc>
        <w:tc>
          <w:tcPr>
            <w:tcW w:w="1714" w:type="pct"/>
            <w:tcBorders>
              <w:top w:val="nil"/>
              <w:left w:val="nil"/>
              <w:bottom w:val="single" w:sz="4" w:space="0" w:color="auto"/>
              <w:right w:val="single" w:sz="4" w:space="0" w:color="auto"/>
            </w:tcBorders>
            <w:shd w:val="clear" w:color="auto" w:fill="auto"/>
            <w:noWrap/>
            <w:vAlign w:val="center"/>
          </w:tcPr>
          <w:p w:rsidR="00AB1F14" w:rsidRDefault="00F117B3">
            <w:pPr>
              <w:widowControl/>
              <w:spacing w:line="3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2245" w:type="pct"/>
            <w:gridSpan w:val="6"/>
            <w:tcBorders>
              <w:top w:val="nil"/>
              <w:left w:val="nil"/>
              <w:bottom w:val="single" w:sz="4" w:space="0" w:color="auto"/>
              <w:right w:val="single" w:sz="4" w:space="0" w:color="auto"/>
            </w:tcBorders>
            <w:shd w:val="clear" w:color="auto" w:fill="auto"/>
            <w:noWrap/>
            <w:vAlign w:val="center"/>
          </w:tcPr>
          <w:p w:rsidR="00AB1F14" w:rsidRDefault="00AB1F14">
            <w:pPr>
              <w:widowControl/>
              <w:spacing w:line="300" w:lineRule="exact"/>
              <w:jc w:val="center"/>
              <w:rPr>
                <w:rFonts w:asciiTheme="minorEastAsia" w:eastAsiaTheme="minorEastAsia" w:hAnsiTheme="minorEastAsia" w:cs="宋体"/>
                <w:color w:val="000000"/>
                <w:kern w:val="0"/>
                <w:sz w:val="24"/>
              </w:rPr>
            </w:pPr>
          </w:p>
        </w:tc>
      </w:tr>
      <w:tr w:rsidR="00AB1F14">
        <w:trPr>
          <w:trHeight w:val="15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B1F14" w:rsidRDefault="00F117B3" w:rsidP="0019692D">
            <w:pPr>
              <w:spacing w:beforeLines="50" w:afterLines="50" w:line="360" w:lineRule="auto"/>
              <w:ind w:firstLine="495"/>
              <w:rPr>
                <w:rFonts w:asciiTheme="minorEastAsia" w:eastAsiaTheme="minorEastAsia" w:hAnsiTheme="minorEastAsia"/>
                <w:b/>
                <w:sz w:val="24"/>
              </w:rPr>
            </w:pPr>
            <w:r>
              <w:rPr>
                <w:rFonts w:asciiTheme="minorEastAsia" w:eastAsiaTheme="minorEastAsia" w:hAnsiTheme="minorEastAsia" w:cs="宋体" w:hint="eastAsia"/>
                <w:b/>
                <w:color w:val="000000"/>
                <w:kern w:val="0"/>
                <w:sz w:val="24"/>
              </w:rPr>
              <w:t>备注：</w:t>
            </w:r>
            <w:r>
              <w:rPr>
                <w:rFonts w:asciiTheme="minorEastAsia" w:eastAsiaTheme="minorEastAsia" w:hAnsiTheme="minorEastAsia" w:cs="宋体" w:hint="eastAsia"/>
                <w:color w:val="000000"/>
                <w:kern w:val="0"/>
                <w:sz w:val="24"/>
              </w:rPr>
              <w:t>规格的投标报价为单价形式，实际尺寸工程量需以现场实际需求为准，中标人需按采购人需求现场考察采集数据。最终结算按单价乘以实际尺寸结算。</w:t>
            </w:r>
            <w:r>
              <w:rPr>
                <w:rFonts w:asciiTheme="minorEastAsia" w:eastAsiaTheme="minorEastAsia" w:hAnsiTheme="minorEastAsia" w:hint="eastAsia"/>
                <w:b/>
                <w:sz w:val="24"/>
              </w:rPr>
              <w:t>所涉及的费用均包含在投标报价中，采购人不另行支付。</w:t>
            </w:r>
          </w:p>
        </w:tc>
      </w:tr>
    </w:tbl>
    <w:p w:rsidR="00AB1F14" w:rsidRDefault="00F117B3">
      <w:pPr>
        <w:spacing w:line="360" w:lineRule="auto"/>
        <w:ind w:firstLineChars="147" w:firstLine="354"/>
        <w:rPr>
          <w:rFonts w:asciiTheme="minorEastAsia" w:eastAsiaTheme="minorEastAsia" w:hAnsiTheme="minorEastAsia"/>
          <w:b/>
          <w:sz w:val="24"/>
        </w:rPr>
      </w:pPr>
      <w:r>
        <w:rPr>
          <w:rFonts w:asciiTheme="minorEastAsia" w:eastAsiaTheme="minorEastAsia" w:hAnsiTheme="minorEastAsia" w:hint="eastAsia"/>
          <w:b/>
          <w:sz w:val="24"/>
        </w:rPr>
        <w:t>三、主要材料（设备）参考品牌</w:t>
      </w:r>
    </w:p>
    <w:tbl>
      <w:tblPr>
        <w:tblW w:w="5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1619"/>
        <w:gridCol w:w="2575"/>
        <w:gridCol w:w="4680"/>
      </w:tblGrid>
      <w:tr w:rsidR="00AB1F14">
        <w:trPr>
          <w:cantSplit/>
          <w:trHeight w:val="627"/>
          <w:jc w:val="center"/>
        </w:trPr>
        <w:tc>
          <w:tcPr>
            <w:tcW w:w="303" w:type="pct"/>
            <w:vAlign w:val="center"/>
          </w:tcPr>
          <w:p w:rsidR="00AB1F14" w:rsidRDefault="00F117B3">
            <w:pPr>
              <w:spacing w:line="276" w:lineRule="auto"/>
              <w:jc w:val="center"/>
              <w:rPr>
                <w:rFonts w:asciiTheme="minorEastAsia" w:eastAsiaTheme="minorEastAsia" w:hAnsiTheme="minorEastAsia" w:cs="Arial"/>
                <w:b/>
                <w:sz w:val="24"/>
              </w:rPr>
            </w:pPr>
            <w:r>
              <w:rPr>
                <w:rFonts w:asciiTheme="minorEastAsia" w:eastAsiaTheme="minorEastAsia" w:hAnsiTheme="minorEastAsia" w:cs="Arial" w:hint="eastAsia"/>
                <w:b/>
                <w:sz w:val="24"/>
              </w:rPr>
              <w:t>序号</w:t>
            </w:r>
          </w:p>
        </w:tc>
        <w:tc>
          <w:tcPr>
            <w:tcW w:w="857" w:type="pct"/>
            <w:vAlign w:val="center"/>
          </w:tcPr>
          <w:p w:rsidR="00AB1F14" w:rsidRDefault="00F117B3">
            <w:pPr>
              <w:spacing w:line="276" w:lineRule="auto"/>
              <w:jc w:val="center"/>
              <w:rPr>
                <w:rFonts w:asciiTheme="minorEastAsia" w:eastAsiaTheme="minorEastAsia" w:hAnsiTheme="minorEastAsia" w:cs="Arial"/>
                <w:b/>
                <w:sz w:val="24"/>
              </w:rPr>
            </w:pPr>
            <w:r>
              <w:rPr>
                <w:rFonts w:asciiTheme="minorEastAsia" w:eastAsiaTheme="minorEastAsia" w:hAnsiTheme="minorEastAsia" w:cs="Arial" w:hint="eastAsia"/>
                <w:b/>
                <w:sz w:val="24"/>
              </w:rPr>
              <w:t>材料（设备）名称</w:t>
            </w:r>
          </w:p>
        </w:tc>
        <w:tc>
          <w:tcPr>
            <w:tcW w:w="1363" w:type="pct"/>
            <w:vAlign w:val="center"/>
          </w:tcPr>
          <w:p w:rsidR="00AB1F14" w:rsidRDefault="00F117B3">
            <w:pPr>
              <w:spacing w:line="276" w:lineRule="auto"/>
              <w:jc w:val="center"/>
              <w:rPr>
                <w:rFonts w:asciiTheme="minorEastAsia" w:eastAsiaTheme="minorEastAsia" w:hAnsiTheme="minorEastAsia" w:cs="Arial"/>
                <w:b/>
                <w:sz w:val="24"/>
              </w:rPr>
            </w:pPr>
            <w:r>
              <w:rPr>
                <w:rFonts w:asciiTheme="minorEastAsia" w:eastAsiaTheme="minorEastAsia" w:hAnsiTheme="minorEastAsia" w:cs="Arial" w:hint="eastAsia"/>
                <w:b/>
                <w:sz w:val="24"/>
              </w:rPr>
              <w:t>参考品牌</w:t>
            </w:r>
          </w:p>
        </w:tc>
        <w:tc>
          <w:tcPr>
            <w:tcW w:w="2478" w:type="pct"/>
            <w:vAlign w:val="center"/>
          </w:tcPr>
          <w:p w:rsidR="00AB1F14" w:rsidRDefault="00F117B3">
            <w:pPr>
              <w:spacing w:line="276" w:lineRule="auto"/>
              <w:jc w:val="center"/>
              <w:rPr>
                <w:rFonts w:asciiTheme="minorEastAsia" w:eastAsiaTheme="minorEastAsia" w:hAnsiTheme="minorEastAsia" w:cs="Arial"/>
                <w:b/>
                <w:sz w:val="24"/>
              </w:rPr>
            </w:pPr>
            <w:r>
              <w:rPr>
                <w:rFonts w:asciiTheme="minorEastAsia" w:eastAsiaTheme="minorEastAsia" w:hAnsiTheme="minorEastAsia" w:cs="Arial" w:hint="eastAsia"/>
                <w:b/>
                <w:sz w:val="24"/>
              </w:rPr>
              <w:t>投标人选定品牌【必须填报，且只能填一个（选择“同档次及以上”的，应写明所选的品牌）】</w:t>
            </w:r>
          </w:p>
        </w:tc>
      </w:tr>
      <w:tr w:rsidR="00AB1F14">
        <w:trPr>
          <w:cantSplit/>
          <w:trHeight w:val="340"/>
          <w:jc w:val="center"/>
        </w:trPr>
        <w:tc>
          <w:tcPr>
            <w:tcW w:w="303"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1</w:t>
            </w:r>
          </w:p>
        </w:tc>
        <w:tc>
          <w:tcPr>
            <w:tcW w:w="857"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LED</w:t>
            </w:r>
            <w:r>
              <w:rPr>
                <w:rFonts w:asciiTheme="minorEastAsia" w:eastAsiaTheme="minorEastAsia" w:hAnsiTheme="minorEastAsia" w:cs="Arial" w:hint="eastAsia"/>
                <w:sz w:val="24"/>
              </w:rPr>
              <w:t>防水灯</w:t>
            </w:r>
          </w:p>
        </w:tc>
        <w:tc>
          <w:tcPr>
            <w:tcW w:w="1363" w:type="pct"/>
            <w:vAlign w:val="center"/>
          </w:tcPr>
          <w:p w:rsidR="00AB1F14" w:rsidRDefault="00F117B3">
            <w:pPr>
              <w:spacing w:line="276" w:lineRule="auto"/>
              <w:jc w:val="left"/>
              <w:rPr>
                <w:rFonts w:asciiTheme="minorEastAsia" w:eastAsiaTheme="minorEastAsia" w:hAnsiTheme="minorEastAsia" w:cs="Arial"/>
                <w:sz w:val="24"/>
              </w:rPr>
            </w:pPr>
            <w:r>
              <w:rPr>
                <w:rFonts w:asciiTheme="minorEastAsia" w:eastAsiaTheme="minorEastAsia" w:hAnsiTheme="minorEastAsia" w:cs="Arial" w:hint="eastAsia"/>
                <w:sz w:val="24"/>
              </w:rPr>
              <w:t>日上、</w:t>
            </w:r>
            <w:r>
              <w:rPr>
                <w:rFonts w:ascii="宋体" w:hAnsi="宋体" w:cs="Arial" w:hint="eastAsia"/>
                <w:sz w:val="24"/>
              </w:rPr>
              <w:t>蓝景、</w:t>
            </w:r>
            <w:r>
              <w:rPr>
                <w:rFonts w:asciiTheme="minorEastAsia" w:eastAsiaTheme="minorEastAsia" w:hAnsiTheme="minorEastAsia" w:cs="Arial" w:hint="eastAsia"/>
                <w:sz w:val="24"/>
              </w:rPr>
              <w:t>雷士、三雄极光、科锐或同档次及以上</w:t>
            </w:r>
          </w:p>
        </w:tc>
        <w:tc>
          <w:tcPr>
            <w:tcW w:w="2478" w:type="pct"/>
            <w:vAlign w:val="center"/>
          </w:tcPr>
          <w:p w:rsidR="00AB1F14" w:rsidRDefault="00AB1F14">
            <w:pPr>
              <w:spacing w:line="276" w:lineRule="auto"/>
              <w:jc w:val="center"/>
              <w:rPr>
                <w:rFonts w:asciiTheme="minorEastAsia" w:eastAsiaTheme="minorEastAsia" w:hAnsiTheme="minorEastAsia" w:cs="Arial"/>
                <w:sz w:val="24"/>
              </w:rPr>
            </w:pPr>
          </w:p>
        </w:tc>
      </w:tr>
      <w:tr w:rsidR="00AB1F14">
        <w:trPr>
          <w:cantSplit/>
          <w:trHeight w:val="340"/>
          <w:jc w:val="center"/>
        </w:trPr>
        <w:tc>
          <w:tcPr>
            <w:tcW w:w="303"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2</w:t>
            </w:r>
          </w:p>
        </w:tc>
        <w:tc>
          <w:tcPr>
            <w:tcW w:w="857"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电线、电缆</w:t>
            </w:r>
          </w:p>
        </w:tc>
        <w:tc>
          <w:tcPr>
            <w:tcW w:w="1363" w:type="pct"/>
            <w:vAlign w:val="center"/>
          </w:tcPr>
          <w:p w:rsidR="00AB1F14" w:rsidRDefault="00F117B3">
            <w:pPr>
              <w:spacing w:line="276" w:lineRule="auto"/>
              <w:jc w:val="left"/>
              <w:rPr>
                <w:rFonts w:asciiTheme="minorEastAsia" w:eastAsiaTheme="minorEastAsia" w:hAnsiTheme="minorEastAsia" w:cs="Arial"/>
                <w:sz w:val="24"/>
              </w:rPr>
            </w:pPr>
            <w:r>
              <w:rPr>
                <w:rFonts w:asciiTheme="minorEastAsia" w:eastAsiaTheme="minorEastAsia" w:hAnsiTheme="minorEastAsia" w:cs="Arial" w:hint="eastAsia"/>
                <w:sz w:val="24"/>
              </w:rPr>
              <w:t>浙江万马、杭州永通、江苏宝胜、</w:t>
            </w:r>
            <w:r>
              <w:rPr>
                <w:rFonts w:asciiTheme="minorEastAsia" w:eastAsiaTheme="minorEastAsia" w:hAnsiTheme="minorEastAsia" w:hint="eastAsia"/>
                <w:sz w:val="24"/>
              </w:rPr>
              <w:t>华策、中策</w:t>
            </w:r>
            <w:r>
              <w:rPr>
                <w:rFonts w:asciiTheme="minorEastAsia" w:eastAsiaTheme="minorEastAsia" w:hAnsiTheme="minorEastAsia" w:cs="Arial" w:hint="eastAsia"/>
                <w:sz w:val="24"/>
              </w:rPr>
              <w:t>或同档次及以上</w:t>
            </w:r>
          </w:p>
        </w:tc>
        <w:tc>
          <w:tcPr>
            <w:tcW w:w="2478" w:type="pct"/>
            <w:vAlign w:val="center"/>
          </w:tcPr>
          <w:p w:rsidR="00AB1F14" w:rsidRDefault="00AB1F14">
            <w:pPr>
              <w:spacing w:line="276" w:lineRule="auto"/>
              <w:jc w:val="center"/>
              <w:rPr>
                <w:rFonts w:asciiTheme="minorEastAsia" w:eastAsiaTheme="minorEastAsia" w:hAnsiTheme="minorEastAsia" w:cs="Arial"/>
                <w:sz w:val="24"/>
              </w:rPr>
            </w:pPr>
          </w:p>
        </w:tc>
      </w:tr>
      <w:tr w:rsidR="00AB1F14">
        <w:trPr>
          <w:cantSplit/>
          <w:trHeight w:val="323"/>
          <w:jc w:val="center"/>
        </w:trPr>
        <w:tc>
          <w:tcPr>
            <w:tcW w:w="303"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3</w:t>
            </w:r>
          </w:p>
        </w:tc>
        <w:tc>
          <w:tcPr>
            <w:tcW w:w="857"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hint="eastAsia"/>
                <w:sz w:val="24"/>
              </w:rPr>
              <w:t>防水变压器</w:t>
            </w:r>
          </w:p>
        </w:tc>
        <w:tc>
          <w:tcPr>
            <w:tcW w:w="1363" w:type="pct"/>
            <w:vAlign w:val="center"/>
          </w:tcPr>
          <w:p w:rsidR="00AB1F14" w:rsidRDefault="00F117B3">
            <w:pPr>
              <w:spacing w:line="276" w:lineRule="auto"/>
              <w:jc w:val="left"/>
              <w:rPr>
                <w:rFonts w:asciiTheme="minorEastAsia" w:eastAsiaTheme="minorEastAsia" w:hAnsiTheme="minorEastAsia" w:cs="Arial"/>
                <w:sz w:val="24"/>
              </w:rPr>
            </w:pPr>
            <w:r>
              <w:rPr>
                <w:rFonts w:asciiTheme="minorEastAsia" w:eastAsiaTheme="minorEastAsia" w:hAnsiTheme="minorEastAsia" w:hint="eastAsia"/>
                <w:sz w:val="24"/>
              </w:rPr>
              <w:t>珠海金波、德力西、正泰、华鑫</w:t>
            </w:r>
            <w:r>
              <w:rPr>
                <w:rFonts w:asciiTheme="minorEastAsia" w:eastAsiaTheme="minorEastAsia" w:hAnsiTheme="minorEastAsia" w:cs="Arial" w:hint="eastAsia"/>
                <w:sz w:val="24"/>
              </w:rPr>
              <w:t>或同档次及以上</w:t>
            </w:r>
          </w:p>
        </w:tc>
        <w:tc>
          <w:tcPr>
            <w:tcW w:w="2478" w:type="pct"/>
            <w:vAlign w:val="center"/>
          </w:tcPr>
          <w:p w:rsidR="00AB1F14" w:rsidRDefault="00AB1F14">
            <w:pPr>
              <w:spacing w:line="276" w:lineRule="auto"/>
              <w:jc w:val="center"/>
              <w:rPr>
                <w:rFonts w:asciiTheme="minorEastAsia" w:eastAsiaTheme="minorEastAsia" w:hAnsiTheme="minorEastAsia" w:cs="Arial"/>
                <w:sz w:val="24"/>
              </w:rPr>
            </w:pPr>
          </w:p>
        </w:tc>
      </w:tr>
      <w:tr w:rsidR="00AB1F14">
        <w:trPr>
          <w:cantSplit/>
          <w:trHeight w:val="323"/>
          <w:jc w:val="center"/>
        </w:trPr>
        <w:tc>
          <w:tcPr>
            <w:tcW w:w="303"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4</w:t>
            </w:r>
          </w:p>
        </w:tc>
        <w:tc>
          <w:tcPr>
            <w:tcW w:w="857"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配电柜（箱）</w:t>
            </w:r>
          </w:p>
        </w:tc>
        <w:tc>
          <w:tcPr>
            <w:tcW w:w="1363" w:type="pct"/>
            <w:vAlign w:val="center"/>
          </w:tcPr>
          <w:p w:rsidR="00AB1F14" w:rsidRDefault="00F117B3">
            <w:pPr>
              <w:spacing w:line="276" w:lineRule="auto"/>
              <w:jc w:val="left"/>
              <w:rPr>
                <w:rFonts w:asciiTheme="minorEastAsia" w:eastAsiaTheme="minorEastAsia" w:hAnsiTheme="minorEastAsia" w:cs="Arial"/>
                <w:sz w:val="24"/>
              </w:rPr>
            </w:pPr>
            <w:r>
              <w:rPr>
                <w:rFonts w:asciiTheme="minorEastAsia" w:eastAsiaTheme="minorEastAsia" w:hAnsiTheme="minorEastAsia" w:cs="Arial" w:hint="eastAsia"/>
                <w:sz w:val="24"/>
              </w:rPr>
              <w:t>杭开、浙宝、浙江金盾或同档次及以上</w:t>
            </w:r>
          </w:p>
        </w:tc>
        <w:tc>
          <w:tcPr>
            <w:tcW w:w="2478" w:type="pct"/>
            <w:vAlign w:val="center"/>
          </w:tcPr>
          <w:p w:rsidR="00AB1F14" w:rsidRDefault="00AB1F14">
            <w:pPr>
              <w:spacing w:line="276" w:lineRule="auto"/>
              <w:jc w:val="center"/>
              <w:rPr>
                <w:rFonts w:asciiTheme="minorEastAsia" w:eastAsiaTheme="minorEastAsia" w:hAnsiTheme="minorEastAsia" w:cs="Arial"/>
                <w:sz w:val="24"/>
              </w:rPr>
            </w:pPr>
          </w:p>
        </w:tc>
      </w:tr>
      <w:tr w:rsidR="00AB1F14">
        <w:trPr>
          <w:cantSplit/>
          <w:trHeight w:val="340"/>
          <w:jc w:val="center"/>
        </w:trPr>
        <w:tc>
          <w:tcPr>
            <w:tcW w:w="303"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5</w:t>
            </w:r>
          </w:p>
        </w:tc>
        <w:tc>
          <w:tcPr>
            <w:tcW w:w="857"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配电柜（箱）内电气元件</w:t>
            </w:r>
          </w:p>
        </w:tc>
        <w:tc>
          <w:tcPr>
            <w:tcW w:w="1363" w:type="pct"/>
            <w:vAlign w:val="center"/>
          </w:tcPr>
          <w:p w:rsidR="00AB1F14" w:rsidRDefault="00F117B3">
            <w:pPr>
              <w:spacing w:line="276" w:lineRule="auto"/>
              <w:jc w:val="left"/>
              <w:rPr>
                <w:rFonts w:asciiTheme="minorEastAsia" w:eastAsiaTheme="minorEastAsia" w:hAnsiTheme="minorEastAsia" w:cs="Arial"/>
                <w:sz w:val="24"/>
              </w:rPr>
            </w:pPr>
            <w:r>
              <w:rPr>
                <w:rFonts w:asciiTheme="minorEastAsia" w:eastAsiaTheme="minorEastAsia" w:hAnsiTheme="minorEastAsia" w:cs="Arial"/>
                <w:sz w:val="24"/>
              </w:rPr>
              <w:t>ABB</w:t>
            </w:r>
            <w:r>
              <w:rPr>
                <w:rFonts w:asciiTheme="minorEastAsia" w:eastAsiaTheme="minorEastAsia" w:hAnsiTheme="minorEastAsia" w:cs="Arial" w:hint="eastAsia"/>
                <w:sz w:val="24"/>
              </w:rPr>
              <w:t>、正泰、西门子、施耐德或同档次及以上</w:t>
            </w:r>
          </w:p>
        </w:tc>
        <w:tc>
          <w:tcPr>
            <w:tcW w:w="2478" w:type="pct"/>
            <w:vAlign w:val="center"/>
          </w:tcPr>
          <w:p w:rsidR="00AB1F14" w:rsidRDefault="00AB1F14">
            <w:pPr>
              <w:spacing w:line="276" w:lineRule="auto"/>
              <w:jc w:val="center"/>
              <w:rPr>
                <w:rFonts w:asciiTheme="minorEastAsia" w:eastAsiaTheme="minorEastAsia" w:hAnsiTheme="minorEastAsia" w:cs="Arial"/>
                <w:sz w:val="24"/>
              </w:rPr>
            </w:pPr>
          </w:p>
        </w:tc>
      </w:tr>
      <w:tr w:rsidR="00AB1F14">
        <w:trPr>
          <w:cantSplit/>
          <w:trHeight w:val="323"/>
          <w:jc w:val="center"/>
        </w:trPr>
        <w:tc>
          <w:tcPr>
            <w:tcW w:w="303"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sz w:val="24"/>
              </w:rPr>
              <w:t>6</w:t>
            </w:r>
          </w:p>
        </w:tc>
        <w:tc>
          <w:tcPr>
            <w:tcW w:w="857" w:type="pct"/>
            <w:vAlign w:val="center"/>
          </w:tcPr>
          <w:p w:rsidR="00AB1F14" w:rsidRDefault="00F117B3">
            <w:pPr>
              <w:spacing w:line="276"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配电柜（箱）内双电源自动切换开关（</w:t>
            </w:r>
            <w:r>
              <w:rPr>
                <w:rFonts w:asciiTheme="minorEastAsia" w:eastAsiaTheme="minorEastAsia" w:hAnsiTheme="minorEastAsia" w:cs="Arial"/>
                <w:sz w:val="24"/>
              </w:rPr>
              <w:t>ATS</w:t>
            </w:r>
            <w:r>
              <w:rPr>
                <w:rFonts w:asciiTheme="minorEastAsia" w:eastAsiaTheme="minorEastAsia" w:hAnsiTheme="minorEastAsia" w:cs="Arial" w:hint="eastAsia"/>
                <w:sz w:val="24"/>
              </w:rPr>
              <w:t>）</w:t>
            </w:r>
          </w:p>
        </w:tc>
        <w:tc>
          <w:tcPr>
            <w:tcW w:w="1363" w:type="pct"/>
            <w:vAlign w:val="center"/>
          </w:tcPr>
          <w:p w:rsidR="00AB1F14" w:rsidRDefault="00F117B3">
            <w:pPr>
              <w:spacing w:line="276" w:lineRule="auto"/>
              <w:jc w:val="left"/>
              <w:rPr>
                <w:rFonts w:asciiTheme="minorEastAsia" w:eastAsiaTheme="minorEastAsia" w:hAnsiTheme="minorEastAsia" w:cs="Arial"/>
                <w:sz w:val="24"/>
              </w:rPr>
            </w:pPr>
            <w:r>
              <w:rPr>
                <w:rFonts w:asciiTheme="minorEastAsia" w:eastAsiaTheme="minorEastAsia" w:hAnsiTheme="minorEastAsia" w:cs="Arial"/>
                <w:sz w:val="24"/>
              </w:rPr>
              <w:t>ASCO</w:t>
            </w:r>
            <w:r>
              <w:rPr>
                <w:rFonts w:asciiTheme="minorEastAsia" w:eastAsiaTheme="minorEastAsia" w:hAnsiTheme="minorEastAsia" w:cs="Arial" w:hint="eastAsia"/>
                <w:sz w:val="24"/>
              </w:rPr>
              <w:t>、</w:t>
            </w:r>
            <w:r>
              <w:rPr>
                <w:rFonts w:asciiTheme="minorEastAsia" w:eastAsiaTheme="minorEastAsia" w:hAnsiTheme="minorEastAsia" w:cs="Arial"/>
                <w:sz w:val="24"/>
              </w:rPr>
              <w:t>RUSS</w:t>
            </w:r>
            <w:r>
              <w:rPr>
                <w:rFonts w:asciiTheme="minorEastAsia" w:eastAsiaTheme="minorEastAsia" w:hAnsiTheme="minorEastAsia" w:cs="Arial" w:hint="eastAsia"/>
                <w:sz w:val="24"/>
              </w:rPr>
              <w:t>、正泰、西门子、</w:t>
            </w:r>
            <w:r>
              <w:rPr>
                <w:rFonts w:asciiTheme="minorEastAsia" w:eastAsiaTheme="minorEastAsia" w:hAnsiTheme="minorEastAsia" w:cs="Arial"/>
                <w:sz w:val="24"/>
              </w:rPr>
              <w:t>AEG</w:t>
            </w:r>
            <w:r>
              <w:rPr>
                <w:rFonts w:asciiTheme="minorEastAsia" w:eastAsiaTheme="minorEastAsia" w:hAnsiTheme="minorEastAsia" w:cs="Arial" w:hint="eastAsia"/>
                <w:sz w:val="24"/>
              </w:rPr>
              <w:t>或同档次及以上</w:t>
            </w:r>
          </w:p>
        </w:tc>
        <w:tc>
          <w:tcPr>
            <w:tcW w:w="2478" w:type="pct"/>
            <w:vAlign w:val="center"/>
          </w:tcPr>
          <w:p w:rsidR="00AB1F14" w:rsidRDefault="00AB1F14">
            <w:pPr>
              <w:spacing w:line="276" w:lineRule="auto"/>
              <w:jc w:val="center"/>
              <w:rPr>
                <w:rFonts w:asciiTheme="minorEastAsia" w:eastAsiaTheme="minorEastAsia" w:hAnsiTheme="minorEastAsia" w:cs="Arial"/>
                <w:sz w:val="24"/>
              </w:rPr>
            </w:pPr>
          </w:p>
        </w:tc>
      </w:tr>
    </w:tbl>
    <w:p w:rsidR="00AB1F14" w:rsidRDefault="00F117B3">
      <w:pPr>
        <w:spacing w:line="360" w:lineRule="auto"/>
        <w:ind w:firstLineChars="147" w:firstLine="354"/>
        <w:rPr>
          <w:rFonts w:asciiTheme="minorEastAsia" w:eastAsiaTheme="minorEastAsia" w:hAnsiTheme="minorEastAsia"/>
          <w:b/>
          <w:sz w:val="24"/>
        </w:rPr>
      </w:pPr>
      <w:r>
        <w:rPr>
          <w:rFonts w:asciiTheme="minorEastAsia" w:eastAsiaTheme="minorEastAsia" w:hAnsiTheme="minorEastAsia" w:hint="eastAsia"/>
          <w:b/>
          <w:sz w:val="24"/>
        </w:rPr>
        <w:t>四、其他要求</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1、标识牌</w:t>
      </w:r>
      <w:r>
        <w:rPr>
          <w:rFonts w:asciiTheme="minorEastAsia" w:eastAsiaTheme="minorEastAsia" w:hAnsiTheme="minorEastAsia"/>
          <w:sz w:val="24"/>
        </w:rPr>
        <w:t>LED</w:t>
      </w:r>
      <w:r>
        <w:rPr>
          <w:rFonts w:asciiTheme="minorEastAsia" w:eastAsiaTheme="minorEastAsia" w:hAnsiTheme="minorEastAsia" w:hint="eastAsia"/>
          <w:sz w:val="24"/>
        </w:rPr>
        <w:t>立体发光字可自动定时开关，颜色深浅中标后须由采购人确定，所涉及的费用均包含在投标报价中。</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2、项目实施过程中所涉及的灯具、电缆线、发光字防水变压器、配电箱（包</w:t>
      </w:r>
      <w:r>
        <w:rPr>
          <w:rFonts w:asciiTheme="minorEastAsia" w:eastAsiaTheme="minorEastAsia" w:hAnsiTheme="minorEastAsia" w:hint="eastAsia"/>
          <w:sz w:val="24"/>
        </w:rPr>
        <w:lastRenderedPageBreak/>
        <w:t>括定时器、空开、漏电保护器、箱体等）均由投标人提供，并完成相应的安装工作；涉及线路开槽埋管、穿墙以及修补等费用均包含在投标报价中，采购人不另行支付。</w:t>
      </w:r>
      <w:r>
        <w:rPr>
          <w:rFonts w:asciiTheme="minorEastAsia" w:eastAsiaTheme="minorEastAsia" w:hAnsiTheme="minorEastAsia" w:hint="eastAsia"/>
          <w:b/>
          <w:sz w:val="24"/>
        </w:rPr>
        <w:t>实施过程中投标人应按照现行相关法规、制度和技术规范的规定安排具有建筑安全生产许可证、建筑企业资质钢结构工程专业承包资质证书等相应资质的施工队伍实施。</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3、设计制作使用年限为</w:t>
      </w:r>
      <w:r>
        <w:rPr>
          <w:rFonts w:asciiTheme="minorEastAsia" w:eastAsiaTheme="minorEastAsia" w:hAnsiTheme="minorEastAsia"/>
          <w:sz w:val="24"/>
        </w:rPr>
        <w:t>10</w:t>
      </w:r>
      <w:r>
        <w:rPr>
          <w:rFonts w:asciiTheme="minorEastAsia" w:eastAsiaTheme="minorEastAsia" w:hAnsiTheme="minorEastAsia" w:hint="eastAsia"/>
          <w:sz w:val="24"/>
        </w:rPr>
        <w:t>年以上。</w:t>
      </w:r>
    </w:p>
    <w:p w:rsidR="00AB1F14" w:rsidRDefault="00F117B3">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4、质保期：全部货物安装完毕，经验收合格交付采购人使用之日起不少于</w:t>
      </w:r>
      <w:r>
        <w:rPr>
          <w:rFonts w:asciiTheme="minorEastAsia" w:eastAsiaTheme="minorEastAsia" w:hAnsiTheme="minorEastAsia" w:hint="eastAsia"/>
          <w:b/>
          <w:sz w:val="24"/>
          <w:u w:val="single"/>
        </w:rPr>
        <w:t>2</w:t>
      </w:r>
      <w:r>
        <w:rPr>
          <w:rFonts w:asciiTheme="minorEastAsia" w:eastAsiaTheme="minorEastAsia" w:hAnsiTheme="minorEastAsia" w:hint="eastAsia"/>
          <w:b/>
          <w:sz w:val="24"/>
        </w:rPr>
        <w:t>年。</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5、售后服务：供应商需提供24小时售后服务，且维修人员须在接到维修电话后1小时内赶到现场提供维修服务，12小时内完成修复；维修点需提供足够的备件以适应采购人维修需求。</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6、要求投标人在中标后先提交效果图供采购人选择确认，经采购人最终确认后方可投入生产并制作供货安装。</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7、项目实施过程中投标人须做好临边防护等安全防护措施，以及配备安全装备，确保项目作业人员安全；实施过中如发生安全事故由投标人自行承担。</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货物需求一览表和具体技术要求中所指规格型号、技术参数、材料和功能标准等方面的资料如涉及特定品牌、型号规格或制造商的信息，则仅系技术需求及说明而并非进行限制。供应商可提出替代响应内容，但该替代应相当于或优于采购内容及需求的规定，以满足本次采购要求并使采购人可以接受。</w:t>
      </w:r>
    </w:p>
    <w:p w:rsidR="00AB1F14" w:rsidRDefault="00F117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9、本项目合同为单价合同，最终结算金额以医院委托的第三方工程造价咨询公司审计金额为准。</w:t>
      </w:r>
    </w:p>
    <w:sectPr w:rsidR="00AB1F14" w:rsidSect="006C6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C5" w:rsidRDefault="00B512C5">
      <w:r>
        <w:separator/>
      </w:r>
    </w:p>
  </w:endnote>
  <w:endnote w:type="continuationSeparator" w:id="1">
    <w:p w:rsidR="00B512C5" w:rsidRDefault="00B51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14" w:rsidRDefault="006C6264">
    <w:pPr>
      <w:pStyle w:val="a3"/>
      <w:framePr w:wrap="around" w:vAnchor="text" w:hAnchor="margin" w:xAlign="outside" w:y="1"/>
      <w:rPr>
        <w:rStyle w:val="a5"/>
      </w:rPr>
    </w:pPr>
    <w:r>
      <w:fldChar w:fldCharType="begin"/>
    </w:r>
    <w:r w:rsidR="00F117B3">
      <w:rPr>
        <w:rStyle w:val="a5"/>
      </w:rPr>
      <w:instrText xml:space="preserve">PAGE  </w:instrText>
    </w:r>
    <w:r>
      <w:fldChar w:fldCharType="end"/>
    </w:r>
  </w:p>
  <w:p w:rsidR="00AB1F14" w:rsidRDefault="00AB1F1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568511"/>
    </w:sdtPr>
    <w:sdtContent>
      <w:p w:rsidR="00AB1F14" w:rsidRDefault="006C6264">
        <w:pPr>
          <w:pStyle w:val="a3"/>
          <w:jc w:val="center"/>
        </w:pPr>
        <w:r>
          <w:fldChar w:fldCharType="begin"/>
        </w:r>
        <w:r w:rsidR="00F117B3">
          <w:instrText>PAGE   \* MERGEFORMAT</w:instrText>
        </w:r>
        <w:r>
          <w:fldChar w:fldCharType="separate"/>
        </w:r>
        <w:r w:rsidR="0019692D" w:rsidRPr="0019692D">
          <w:rPr>
            <w:noProof/>
            <w:lang w:val="zh-CN"/>
          </w:rPr>
          <w:t>2</w:t>
        </w:r>
        <w:r>
          <w:fldChar w:fldCharType="end"/>
        </w:r>
      </w:p>
    </w:sdtContent>
  </w:sdt>
  <w:p w:rsidR="00AB1F14" w:rsidRDefault="00AB1F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14" w:rsidRDefault="006C6264">
    <w:pPr>
      <w:pStyle w:val="a3"/>
      <w:framePr w:wrap="around" w:vAnchor="text" w:hAnchor="margin" w:xAlign="center" w:y="1"/>
      <w:jc w:val="center"/>
      <w:rPr>
        <w:rStyle w:val="a5"/>
      </w:rPr>
    </w:pPr>
    <w:r>
      <w:rPr>
        <w:rStyle w:val="a5"/>
      </w:rPr>
      <w:fldChar w:fldCharType="begin"/>
    </w:r>
    <w:r w:rsidR="00F117B3">
      <w:rPr>
        <w:rStyle w:val="a5"/>
      </w:rPr>
      <w:instrText xml:space="preserve">PAGE  </w:instrText>
    </w:r>
    <w:r>
      <w:rPr>
        <w:rStyle w:val="a5"/>
      </w:rPr>
      <w:fldChar w:fldCharType="separate"/>
    </w:r>
    <w:r w:rsidR="00F117B3">
      <w:rPr>
        <w:rStyle w:val="a5"/>
      </w:rPr>
      <w:t>48</w:t>
    </w:r>
    <w:r>
      <w:rPr>
        <w:rStyle w:val="a5"/>
      </w:rPr>
      <w:fldChar w:fldCharType="end"/>
    </w:r>
  </w:p>
  <w:p w:rsidR="00AB1F14" w:rsidRDefault="00AB1F14">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C5" w:rsidRDefault="00B512C5">
      <w:r>
        <w:separator/>
      </w:r>
    </w:p>
  </w:footnote>
  <w:footnote w:type="continuationSeparator" w:id="1">
    <w:p w:rsidR="00B512C5" w:rsidRDefault="00B51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EF4"/>
    <w:rsid w:val="00081EBC"/>
    <w:rsid w:val="000E402F"/>
    <w:rsid w:val="001053DD"/>
    <w:rsid w:val="001202BB"/>
    <w:rsid w:val="001533A7"/>
    <w:rsid w:val="0019692D"/>
    <w:rsid w:val="001B42E5"/>
    <w:rsid w:val="001F0EAE"/>
    <w:rsid w:val="002166FE"/>
    <w:rsid w:val="002D61BD"/>
    <w:rsid w:val="00380ABA"/>
    <w:rsid w:val="003F69E9"/>
    <w:rsid w:val="004C6401"/>
    <w:rsid w:val="00502D1C"/>
    <w:rsid w:val="005138FB"/>
    <w:rsid w:val="00586E2C"/>
    <w:rsid w:val="005D2D05"/>
    <w:rsid w:val="0069000E"/>
    <w:rsid w:val="006B3274"/>
    <w:rsid w:val="006C6264"/>
    <w:rsid w:val="007124E2"/>
    <w:rsid w:val="00731C5A"/>
    <w:rsid w:val="007735CD"/>
    <w:rsid w:val="007B521B"/>
    <w:rsid w:val="007F3D09"/>
    <w:rsid w:val="007F6181"/>
    <w:rsid w:val="00822A29"/>
    <w:rsid w:val="008B4BE1"/>
    <w:rsid w:val="008D399E"/>
    <w:rsid w:val="00940DB3"/>
    <w:rsid w:val="009A4B90"/>
    <w:rsid w:val="009D427B"/>
    <w:rsid w:val="00A43ED7"/>
    <w:rsid w:val="00AB1F14"/>
    <w:rsid w:val="00AE1989"/>
    <w:rsid w:val="00AF3EF4"/>
    <w:rsid w:val="00B37EC1"/>
    <w:rsid w:val="00B512C5"/>
    <w:rsid w:val="00B82596"/>
    <w:rsid w:val="00B96AF8"/>
    <w:rsid w:val="00BC7960"/>
    <w:rsid w:val="00C1571E"/>
    <w:rsid w:val="00CD7E8F"/>
    <w:rsid w:val="00D2227A"/>
    <w:rsid w:val="00E35EC8"/>
    <w:rsid w:val="00EC3D9E"/>
    <w:rsid w:val="00EC47B1"/>
    <w:rsid w:val="00EC7B85"/>
    <w:rsid w:val="00EE4132"/>
    <w:rsid w:val="00F117B3"/>
    <w:rsid w:val="00F26951"/>
    <w:rsid w:val="00F75486"/>
    <w:rsid w:val="00F977E0"/>
    <w:rsid w:val="00FA5F26"/>
    <w:rsid w:val="00FD608A"/>
    <w:rsid w:val="2748633C"/>
    <w:rsid w:val="276911BB"/>
    <w:rsid w:val="36907412"/>
    <w:rsid w:val="60664D80"/>
    <w:rsid w:val="7872337B"/>
    <w:rsid w:val="7B0D3313"/>
    <w:rsid w:val="7CBA4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6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C626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6C62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6C6264"/>
  </w:style>
  <w:style w:type="character" w:customStyle="1" w:styleId="Char0">
    <w:name w:val="页眉 Char"/>
    <w:basedOn w:val="a0"/>
    <w:link w:val="a4"/>
    <w:uiPriority w:val="99"/>
    <w:qFormat/>
    <w:rsid w:val="006C6264"/>
    <w:rPr>
      <w:sz w:val="18"/>
      <w:szCs w:val="18"/>
    </w:rPr>
  </w:style>
  <w:style w:type="character" w:customStyle="1" w:styleId="Char">
    <w:name w:val="页脚 Char"/>
    <w:basedOn w:val="a0"/>
    <w:link w:val="a3"/>
    <w:uiPriority w:val="99"/>
    <w:qFormat/>
    <w:rsid w:val="006C6264"/>
    <w:rPr>
      <w:sz w:val="18"/>
      <w:szCs w:val="18"/>
    </w:rPr>
  </w:style>
  <w:style w:type="paragraph" w:styleId="a6">
    <w:name w:val="Balloon Text"/>
    <w:basedOn w:val="a"/>
    <w:link w:val="Char1"/>
    <w:uiPriority w:val="99"/>
    <w:semiHidden/>
    <w:unhideWhenUsed/>
    <w:rsid w:val="0019692D"/>
    <w:rPr>
      <w:sz w:val="18"/>
      <w:szCs w:val="18"/>
    </w:rPr>
  </w:style>
  <w:style w:type="character" w:customStyle="1" w:styleId="Char1">
    <w:name w:val="批注框文本 Char"/>
    <w:basedOn w:val="a0"/>
    <w:link w:val="a6"/>
    <w:uiPriority w:val="99"/>
    <w:semiHidden/>
    <w:rsid w:val="0019692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2097</Characters>
  <Application>Microsoft Office Word</Application>
  <DocSecurity>0</DocSecurity>
  <Lines>17</Lines>
  <Paragraphs>4</Paragraphs>
  <ScaleCrop>false</ScaleCrop>
  <Company>Microsoft</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2021-02-24T03:50:00Z</dcterms:created>
  <dcterms:modified xsi:type="dcterms:W3CDTF">2021-02-25T00:30:00Z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