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AB" w:rsidRPr="004A43AB" w:rsidRDefault="004A43AB" w:rsidP="004A43AB">
      <w:pPr>
        <w:spacing w:before="240" w:after="60" w:line="360" w:lineRule="auto"/>
        <w:jc w:val="center"/>
        <w:outlineLvl w:val="1"/>
        <w:rPr>
          <w:rFonts w:ascii="Cambria" w:eastAsia="宋体" w:hAnsi="Cambria" w:cs="Times New Roman"/>
          <w:kern w:val="28"/>
          <w:sz w:val="32"/>
          <w:szCs w:val="32"/>
        </w:rPr>
      </w:pPr>
      <w:r w:rsidRPr="004A43AB">
        <w:rPr>
          <w:rFonts w:ascii="Cambria" w:eastAsia="宋体" w:hAnsi="Cambria" w:cs="Times New Roman" w:hint="eastAsia"/>
          <w:kern w:val="28"/>
          <w:sz w:val="32"/>
          <w:szCs w:val="32"/>
        </w:rPr>
        <w:t>采购需求</w:t>
      </w:r>
      <w:r w:rsidR="00AE41CD">
        <w:rPr>
          <w:rFonts w:ascii="Cambria" w:eastAsia="宋体" w:hAnsi="Cambria" w:cs="Times New Roman" w:hint="eastAsia"/>
          <w:kern w:val="28"/>
          <w:sz w:val="32"/>
          <w:szCs w:val="32"/>
        </w:rPr>
        <w:t>--</w:t>
      </w:r>
      <w:r w:rsidR="0059483D" w:rsidRPr="0059483D">
        <w:rPr>
          <w:rFonts w:ascii="Cambria" w:eastAsia="宋体" w:hAnsi="Cambria" w:cs="Times New Roman" w:hint="eastAsia"/>
          <w:kern w:val="28"/>
          <w:sz w:val="32"/>
          <w:szCs w:val="32"/>
        </w:rPr>
        <w:t>物联网消防管理平台维保</w:t>
      </w:r>
      <w:r w:rsidR="0059483D">
        <w:rPr>
          <w:rFonts w:ascii="Cambria" w:eastAsia="宋体" w:hAnsi="Cambria" w:cs="Times New Roman" w:hint="eastAsia"/>
          <w:kern w:val="28"/>
          <w:sz w:val="32"/>
          <w:szCs w:val="32"/>
        </w:rPr>
        <w:t>服务</w:t>
      </w:r>
    </w:p>
    <w:p w:rsidR="001C60EF" w:rsidRDefault="001C60EF" w:rsidP="004A43AB">
      <w:pPr>
        <w:spacing w:line="360" w:lineRule="auto"/>
        <w:ind w:firstLineChars="202" w:firstLine="424"/>
      </w:pPr>
      <w:r w:rsidRPr="001C60EF">
        <w:rPr>
          <w:rFonts w:hint="eastAsia"/>
        </w:rPr>
        <w:t>我院将于近期按医院内部采购管理办法采购关于浙江大学医学院附属儿童医院</w:t>
      </w:r>
      <w:r w:rsidR="00AE41CD">
        <w:rPr>
          <w:rFonts w:hint="eastAsia"/>
        </w:rPr>
        <w:t>两院区物联网消防管理平台维保服务</w:t>
      </w:r>
      <w:r w:rsidRPr="001C60EF">
        <w:rPr>
          <w:rFonts w:hint="eastAsia"/>
        </w:rPr>
        <w:t>项目，欢迎符合条件的企业前来参与：</w:t>
      </w:r>
    </w:p>
    <w:p w:rsidR="00457DFB" w:rsidRDefault="00BB0610" w:rsidP="004A43AB">
      <w:pPr>
        <w:spacing w:line="360" w:lineRule="auto"/>
        <w:ind w:firstLineChars="202" w:firstLine="424"/>
      </w:pPr>
      <w:r>
        <w:rPr>
          <w:rFonts w:hint="eastAsia"/>
        </w:rPr>
        <w:t>一：项目内容：</w:t>
      </w:r>
    </w:p>
    <w:tbl>
      <w:tblPr>
        <w:tblStyle w:val="a3"/>
        <w:tblW w:w="0" w:type="auto"/>
        <w:tblLook w:val="04A0"/>
      </w:tblPr>
      <w:tblGrid>
        <w:gridCol w:w="1948"/>
        <w:gridCol w:w="3256"/>
        <w:gridCol w:w="1274"/>
        <w:gridCol w:w="1274"/>
        <w:gridCol w:w="757"/>
      </w:tblGrid>
      <w:tr w:rsidR="00457DFB" w:rsidTr="001C60EF">
        <w:trPr>
          <w:trHeight w:val="215"/>
        </w:trPr>
        <w:tc>
          <w:tcPr>
            <w:tcW w:w="1948" w:type="dxa"/>
            <w:vMerge w:val="restart"/>
          </w:tcPr>
          <w:p w:rsidR="00457DFB" w:rsidRDefault="001C60EF" w:rsidP="004A43AB">
            <w:pPr>
              <w:spacing w:line="360" w:lineRule="auto"/>
            </w:pPr>
            <w:r>
              <w:rPr>
                <w:rFonts w:hint="eastAsia"/>
              </w:rPr>
              <w:t>两院区物联网消防管理平台维保服务</w:t>
            </w:r>
          </w:p>
          <w:p w:rsidR="00457DFB" w:rsidRDefault="00457DFB" w:rsidP="004A43AB">
            <w:pPr>
              <w:spacing w:line="360" w:lineRule="auto"/>
            </w:pPr>
          </w:p>
        </w:tc>
        <w:tc>
          <w:tcPr>
            <w:tcW w:w="3256" w:type="dxa"/>
          </w:tcPr>
          <w:p w:rsidR="00457DFB" w:rsidRDefault="00BB0610" w:rsidP="004A43AB">
            <w:pPr>
              <w:spacing w:line="360" w:lineRule="auto"/>
            </w:pPr>
            <w:r>
              <w:rPr>
                <w:rFonts w:hint="eastAsia"/>
              </w:rPr>
              <w:t>运维项目硬件</w:t>
            </w:r>
          </w:p>
        </w:tc>
        <w:tc>
          <w:tcPr>
            <w:tcW w:w="1274" w:type="dxa"/>
          </w:tcPr>
          <w:p w:rsidR="00457DFB" w:rsidRDefault="00BB0610" w:rsidP="004A43AB">
            <w:pPr>
              <w:spacing w:line="360" w:lineRule="auto"/>
            </w:pPr>
            <w:r>
              <w:rPr>
                <w:rFonts w:hint="eastAsia"/>
              </w:rPr>
              <w:t>湖滨院区</w:t>
            </w:r>
          </w:p>
        </w:tc>
        <w:tc>
          <w:tcPr>
            <w:tcW w:w="1274" w:type="dxa"/>
          </w:tcPr>
          <w:p w:rsidR="00457DFB" w:rsidRDefault="00BB0610" w:rsidP="004A43AB">
            <w:pPr>
              <w:spacing w:line="360" w:lineRule="auto"/>
            </w:pPr>
            <w:r>
              <w:rPr>
                <w:rFonts w:hint="eastAsia"/>
              </w:rPr>
              <w:t>滨江院区</w:t>
            </w:r>
          </w:p>
        </w:tc>
        <w:tc>
          <w:tcPr>
            <w:tcW w:w="756" w:type="dxa"/>
          </w:tcPr>
          <w:p w:rsidR="00457DFB" w:rsidRDefault="00BB0610" w:rsidP="004A43AB">
            <w:pPr>
              <w:spacing w:line="360" w:lineRule="auto"/>
            </w:pPr>
            <w:r>
              <w:rPr>
                <w:rFonts w:hint="eastAsia"/>
              </w:rPr>
              <w:t>共计</w:t>
            </w:r>
          </w:p>
        </w:tc>
      </w:tr>
      <w:tr w:rsidR="00457DFB" w:rsidTr="001C60EF">
        <w:trPr>
          <w:trHeight w:val="285"/>
        </w:trPr>
        <w:tc>
          <w:tcPr>
            <w:tcW w:w="1948" w:type="dxa"/>
            <w:vMerge/>
          </w:tcPr>
          <w:p w:rsidR="00457DFB" w:rsidRDefault="00457DFB" w:rsidP="004A43AB">
            <w:pPr>
              <w:spacing w:line="360" w:lineRule="auto"/>
            </w:pPr>
          </w:p>
        </w:tc>
        <w:tc>
          <w:tcPr>
            <w:tcW w:w="3256" w:type="dxa"/>
          </w:tcPr>
          <w:p w:rsidR="00457DFB" w:rsidRDefault="00BB0610" w:rsidP="004A43AB">
            <w:pPr>
              <w:spacing w:line="360" w:lineRule="auto"/>
            </w:pPr>
            <w:r>
              <w:rPr>
                <w:rFonts w:hint="eastAsia"/>
              </w:rPr>
              <w:t>安消防巡查点位</w:t>
            </w:r>
          </w:p>
        </w:tc>
        <w:tc>
          <w:tcPr>
            <w:tcW w:w="1274" w:type="dxa"/>
          </w:tcPr>
          <w:p w:rsidR="00457DFB" w:rsidRDefault="00BB0610" w:rsidP="004A43AB">
            <w:pPr>
              <w:spacing w:line="360" w:lineRule="auto"/>
            </w:pPr>
            <w:r>
              <w:rPr>
                <w:rFonts w:hint="eastAsia"/>
              </w:rPr>
              <w:t>275</w:t>
            </w:r>
          </w:p>
        </w:tc>
        <w:tc>
          <w:tcPr>
            <w:tcW w:w="1274" w:type="dxa"/>
          </w:tcPr>
          <w:p w:rsidR="00457DFB" w:rsidRDefault="00BB0610" w:rsidP="004A43AB">
            <w:pPr>
              <w:spacing w:line="360" w:lineRule="auto"/>
            </w:pPr>
            <w:r>
              <w:rPr>
                <w:rFonts w:hint="eastAsia"/>
              </w:rPr>
              <w:t>847</w:t>
            </w:r>
          </w:p>
        </w:tc>
        <w:tc>
          <w:tcPr>
            <w:tcW w:w="756" w:type="dxa"/>
          </w:tcPr>
          <w:p w:rsidR="00457DFB" w:rsidRDefault="00BB0610" w:rsidP="004A43AB">
            <w:pPr>
              <w:spacing w:line="360" w:lineRule="auto"/>
            </w:pPr>
            <w:r>
              <w:rPr>
                <w:rFonts w:hint="eastAsia"/>
              </w:rPr>
              <w:t>1122</w:t>
            </w:r>
          </w:p>
        </w:tc>
      </w:tr>
      <w:tr w:rsidR="00457DFB" w:rsidTr="001C60EF">
        <w:trPr>
          <w:trHeight w:val="285"/>
        </w:trPr>
        <w:tc>
          <w:tcPr>
            <w:tcW w:w="1948" w:type="dxa"/>
            <w:vMerge/>
          </w:tcPr>
          <w:p w:rsidR="00457DFB" w:rsidRDefault="00457DFB" w:rsidP="004A43AB">
            <w:pPr>
              <w:spacing w:line="360" w:lineRule="auto"/>
            </w:pPr>
          </w:p>
        </w:tc>
        <w:tc>
          <w:tcPr>
            <w:tcW w:w="3256" w:type="dxa"/>
          </w:tcPr>
          <w:p w:rsidR="00457DFB" w:rsidRDefault="00BB0610" w:rsidP="004A43AB">
            <w:pPr>
              <w:spacing w:line="360" w:lineRule="auto"/>
            </w:pPr>
            <w:r>
              <w:rPr>
                <w:rFonts w:hint="eastAsia"/>
              </w:rPr>
              <w:t>水系统监测点位</w:t>
            </w:r>
          </w:p>
        </w:tc>
        <w:tc>
          <w:tcPr>
            <w:tcW w:w="1274" w:type="dxa"/>
          </w:tcPr>
          <w:p w:rsidR="00457DFB" w:rsidRDefault="00BB0610" w:rsidP="004A43AB">
            <w:pPr>
              <w:spacing w:line="360" w:lineRule="auto"/>
            </w:pPr>
            <w:r>
              <w:rPr>
                <w:rFonts w:hint="eastAsia"/>
              </w:rPr>
              <w:t>11</w:t>
            </w:r>
          </w:p>
        </w:tc>
        <w:tc>
          <w:tcPr>
            <w:tcW w:w="1274" w:type="dxa"/>
          </w:tcPr>
          <w:p w:rsidR="00457DFB" w:rsidRDefault="00BB0610" w:rsidP="004A43AB">
            <w:pPr>
              <w:spacing w:line="360" w:lineRule="auto"/>
            </w:pPr>
            <w:r>
              <w:rPr>
                <w:rFonts w:hint="eastAsia"/>
              </w:rPr>
              <w:t>28</w:t>
            </w:r>
          </w:p>
        </w:tc>
        <w:tc>
          <w:tcPr>
            <w:tcW w:w="756" w:type="dxa"/>
          </w:tcPr>
          <w:p w:rsidR="00457DFB" w:rsidRDefault="00BB0610" w:rsidP="004A43AB">
            <w:pPr>
              <w:spacing w:line="360" w:lineRule="auto"/>
            </w:pPr>
            <w:r>
              <w:rPr>
                <w:rFonts w:hint="eastAsia"/>
              </w:rPr>
              <w:t>39</w:t>
            </w:r>
          </w:p>
        </w:tc>
      </w:tr>
      <w:tr w:rsidR="00457DFB" w:rsidTr="001C60EF">
        <w:trPr>
          <w:trHeight w:val="313"/>
        </w:trPr>
        <w:tc>
          <w:tcPr>
            <w:tcW w:w="1948" w:type="dxa"/>
            <w:vMerge/>
          </w:tcPr>
          <w:p w:rsidR="00457DFB" w:rsidRDefault="00457DFB" w:rsidP="004A43AB">
            <w:pPr>
              <w:spacing w:line="360" w:lineRule="auto"/>
            </w:pPr>
          </w:p>
        </w:tc>
        <w:tc>
          <w:tcPr>
            <w:tcW w:w="3256" w:type="dxa"/>
          </w:tcPr>
          <w:p w:rsidR="00457DFB" w:rsidRDefault="00BB0610" w:rsidP="004A43AB">
            <w:pPr>
              <w:spacing w:line="360" w:lineRule="auto"/>
            </w:pPr>
            <w:r>
              <w:rPr>
                <w:rFonts w:hint="eastAsia"/>
              </w:rPr>
              <w:t>用户传输装置</w:t>
            </w:r>
          </w:p>
        </w:tc>
        <w:tc>
          <w:tcPr>
            <w:tcW w:w="1274" w:type="dxa"/>
          </w:tcPr>
          <w:p w:rsidR="00457DFB" w:rsidRDefault="00BB0610" w:rsidP="004A43AB">
            <w:pPr>
              <w:spacing w:line="360" w:lineRule="auto"/>
            </w:pPr>
            <w:r>
              <w:rPr>
                <w:rFonts w:hint="eastAsia"/>
              </w:rPr>
              <w:t>1</w:t>
            </w:r>
          </w:p>
        </w:tc>
        <w:tc>
          <w:tcPr>
            <w:tcW w:w="1274" w:type="dxa"/>
          </w:tcPr>
          <w:p w:rsidR="00457DFB" w:rsidRDefault="00BB0610" w:rsidP="004A43AB">
            <w:pPr>
              <w:spacing w:line="360" w:lineRule="auto"/>
            </w:pPr>
            <w:r>
              <w:rPr>
                <w:rFonts w:hint="eastAsia"/>
              </w:rPr>
              <w:t>1</w:t>
            </w:r>
          </w:p>
        </w:tc>
        <w:tc>
          <w:tcPr>
            <w:tcW w:w="756" w:type="dxa"/>
          </w:tcPr>
          <w:p w:rsidR="00457DFB" w:rsidRDefault="00BB0610" w:rsidP="004A43AB">
            <w:pPr>
              <w:spacing w:line="360" w:lineRule="auto"/>
            </w:pPr>
            <w:r>
              <w:rPr>
                <w:rFonts w:hint="eastAsia"/>
              </w:rPr>
              <w:t>2</w:t>
            </w:r>
          </w:p>
        </w:tc>
      </w:tr>
      <w:tr w:rsidR="00457DFB" w:rsidTr="001C60EF">
        <w:trPr>
          <w:trHeight w:val="221"/>
        </w:trPr>
        <w:tc>
          <w:tcPr>
            <w:tcW w:w="1948" w:type="dxa"/>
            <w:vMerge/>
          </w:tcPr>
          <w:p w:rsidR="00457DFB" w:rsidRDefault="00457DFB" w:rsidP="004A43AB">
            <w:pPr>
              <w:spacing w:line="360" w:lineRule="auto"/>
            </w:pPr>
          </w:p>
        </w:tc>
        <w:tc>
          <w:tcPr>
            <w:tcW w:w="3256" w:type="dxa"/>
          </w:tcPr>
          <w:p w:rsidR="00457DFB" w:rsidRDefault="00BB0610" w:rsidP="004A43AB">
            <w:pPr>
              <w:spacing w:line="360" w:lineRule="auto"/>
            </w:pPr>
            <w:r>
              <w:rPr>
                <w:rFonts w:hint="eastAsia"/>
              </w:rPr>
              <w:t>巡查使用手持机</w:t>
            </w:r>
          </w:p>
        </w:tc>
        <w:tc>
          <w:tcPr>
            <w:tcW w:w="1274" w:type="dxa"/>
          </w:tcPr>
          <w:p w:rsidR="00457DFB" w:rsidRDefault="00BB0610" w:rsidP="004A43AB">
            <w:pPr>
              <w:spacing w:line="360" w:lineRule="auto"/>
            </w:pPr>
            <w:r>
              <w:rPr>
                <w:rFonts w:hint="eastAsia"/>
              </w:rPr>
              <w:t>4</w:t>
            </w:r>
          </w:p>
        </w:tc>
        <w:tc>
          <w:tcPr>
            <w:tcW w:w="1274" w:type="dxa"/>
          </w:tcPr>
          <w:p w:rsidR="00457DFB" w:rsidRDefault="00BB0610" w:rsidP="004A43AB">
            <w:pPr>
              <w:spacing w:line="360" w:lineRule="auto"/>
            </w:pPr>
            <w:r>
              <w:rPr>
                <w:rFonts w:hint="eastAsia"/>
              </w:rPr>
              <w:t>3</w:t>
            </w:r>
          </w:p>
        </w:tc>
        <w:tc>
          <w:tcPr>
            <w:tcW w:w="756" w:type="dxa"/>
          </w:tcPr>
          <w:p w:rsidR="00457DFB" w:rsidRDefault="00BB0610" w:rsidP="004A43AB">
            <w:pPr>
              <w:spacing w:line="360" w:lineRule="auto"/>
            </w:pPr>
            <w:r>
              <w:rPr>
                <w:rFonts w:hint="eastAsia"/>
              </w:rPr>
              <w:t>7</w:t>
            </w:r>
          </w:p>
        </w:tc>
      </w:tr>
      <w:tr w:rsidR="00457DFB" w:rsidTr="001C60EF">
        <w:trPr>
          <w:trHeight w:val="221"/>
        </w:trPr>
        <w:tc>
          <w:tcPr>
            <w:tcW w:w="1948" w:type="dxa"/>
          </w:tcPr>
          <w:p w:rsidR="00457DFB" w:rsidRDefault="00BB0610" w:rsidP="004A43AB">
            <w:pPr>
              <w:spacing w:line="360" w:lineRule="auto"/>
            </w:pPr>
            <w:r>
              <w:rPr>
                <w:rFonts w:hint="eastAsia"/>
              </w:rPr>
              <w:t>项目</w:t>
            </w:r>
            <w:r w:rsidR="001C60EF">
              <w:rPr>
                <w:rFonts w:hint="eastAsia"/>
              </w:rPr>
              <w:t>服务期</w:t>
            </w:r>
          </w:p>
        </w:tc>
        <w:tc>
          <w:tcPr>
            <w:tcW w:w="6561" w:type="dxa"/>
            <w:gridSpan w:val="4"/>
          </w:tcPr>
          <w:p w:rsidR="00457DFB" w:rsidRDefault="00BB0610" w:rsidP="004A43AB">
            <w:pPr>
              <w:spacing w:line="360" w:lineRule="auto"/>
            </w:pPr>
            <w:r>
              <w:rPr>
                <w:rFonts w:hint="eastAsia"/>
              </w:rPr>
              <w:t>总服务期</w:t>
            </w:r>
            <w:r>
              <w:rPr>
                <w:rFonts w:hint="eastAsia"/>
              </w:rPr>
              <w:t>3</w:t>
            </w:r>
            <w:r>
              <w:rPr>
                <w:rFonts w:hint="eastAsia"/>
              </w:rPr>
              <w:t>年</w:t>
            </w:r>
          </w:p>
        </w:tc>
      </w:tr>
    </w:tbl>
    <w:p w:rsidR="00457DFB" w:rsidRDefault="00BB0610" w:rsidP="004A43AB">
      <w:pPr>
        <w:spacing w:line="360" w:lineRule="auto"/>
        <w:ind w:firstLineChars="202" w:firstLine="424"/>
      </w:pPr>
      <w:r>
        <w:rPr>
          <w:rFonts w:hint="eastAsia"/>
        </w:rPr>
        <w:t>二：总体要求：</w:t>
      </w:r>
    </w:p>
    <w:p w:rsidR="00457DFB" w:rsidRDefault="00BB0610" w:rsidP="004A43AB">
      <w:pPr>
        <w:numPr>
          <w:ilvl w:val="0"/>
          <w:numId w:val="1"/>
        </w:numPr>
        <w:adjustRightInd w:val="0"/>
        <w:snapToGrid w:val="0"/>
        <w:spacing w:line="360" w:lineRule="auto"/>
        <w:ind w:firstLineChars="202" w:firstLine="424"/>
        <w:rPr>
          <w:rFonts w:asciiTheme="minorEastAsia" w:hAnsiTheme="minorEastAsia" w:cstheme="minorEastAsia"/>
          <w:szCs w:val="21"/>
        </w:rPr>
      </w:pPr>
      <w:r>
        <w:rPr>
          <w:rFonts w:asciiTheme="minorEastAsia" w:hAnsiTheme="minorEastAsia" w:cstheme="minorEastAsia" w:hint="eastAsia"/>
          <w:szCs w:val="21"/>
        </w:rPr>
        <w:t>确保</w:t>
      </w:r>
      <w:r w:rsidR="0051243B" w:rsidRPr="0051243B">
        <w:rPr>
          <w:rFonts w:asciiTheme="minorEastAsia" w:hAnsiTheme="minorEastAsia" w:cstheme="minorEastAsia" w:hint="eastAsia"/>
          <w:szCs w:val="21"/>
        </w:rPr>
        <w:t>物联网消防管理平台</w:t>
      </w:r>
      <w:r>
        <w:rPr>
          <w:rFonts w:asciiTheme="minorEastAsia" w:hAnsiTheme="minorEastAsia" w:cstheme="minorEastAsia" w:hint="eastAsia"/>
          <w:szCs w:val="21"/>
        </w:rPr>
        <w:t>正常使用，可实时掌握室内消防水系统和室外消火栓的消防用水状态，包括消防水池液位实时数据、消防水箱液位实时数据、喷淋管网压力实时数据等同时，所有信息在PC端和APP端均可实时查看，水系统数据异常可实时报警推送。</w:t>
      </w:r>
    </w:p>
    <w:p w:rsidR="00457DFB" w:rsidRDefault="00BB0610" w:rsidP="004A43AB">
      <w:pPr>
        <w:numPr>
          <w:ilvl w:val="0"/>
          <w:numId w:val="1"/>
        </w:numPr>
        <w:adjustRightInd w:val="0"/>
        <w:snapToGrid w:val="0"/>
        <w:spacing w:line="360" w:lineRule="auto"/>
        <w:ind w:firstLineChars="202" w:firstLine="424"/>
        <w:rPr>
          <w:rFonts w:asciiTheme="minorEastAsia" w:hAnsiTheme="minorEastAsia" w:cstheme="minorEastAsia"/>
          <w:szCs w:val="21"/>
        </w:rPr>
      </w:pPr>
      <w:r>
        <w:rPr>
          <w:rFonts w:asciiTheme="minorEastAsia" w:hAnsiTheme="minorEastAsia" w:cstheme="minorEastAsia" w:hint="eastAsia"/>
          <w:szCs w:val="21"/>
        </w:rPr>
        <w:t>保证巡查系统可灵活配置巡查任务，巡查频次可按需要进行个性化设置，包括日巡查、周巡查、月巡查、年巡查等。通过电子巡检功能，系统可自动生成巡检报表，查看巡检完成率、隐患上报情况，用数据信息化代替人工纸质记录，隐患排查快速有效</w:t>
      </w:r>
      <w:r w:rsidR="0089038A">
        <w:rPr>
          <w:rFonts w:asciiTheme="minorEastAsia" w:hAnsiTheme="minorEastAsia" w:cstheme="minorEastAsia" w:hint="eastAsia"/>
          <w:szCs w:val="21"/>
        </w:rPr>
        <w:t>。</w:t>
      </w:r>
    </w:p>
    <w:p w:rsidR="00457DFB" w:rsidRDefault="00BB0610" w:rsidP="004A43AB">
      <w:pPr>
        <w:numPr>
          <w:ilvl w:val="0"/>
          <w:numId w:val="1"/>
        </w:numPr>
        <w:adjustRightInd w:val="0"/>
        <w:snapToGrid w:val="0"/>
        <w:spacing w:line="360" w:lineRule="auto"/>
        <w:ind w:firstLineChars="202" w:firstLine="424"/>
        <w:jc w:val="left"/>
        <w:rPr>
          <w:rFonts w:ascii="宋体" w:eastAsia="宋体" w:hAnsi="宋体"/>
          <w:szCs w:val="21"/>
        </w:rPr>
      </w:pPr>
      <w:r>
        <w:rPr>
          <w:rFonts w:ascii="宋体" w:eastAsia="宋体" w:hAnsi="宋体" w:hint="eastAsia"/>
          <w:szCs w:val="21"/>
        </w:rPr>
        <w:t>远程联网正常运行，并使手机、P</w:t>
      </w:r>
      <w:r>
        <w:rPr>
          <w:rFonts w:ascii="宋体" w:eastAsia="宋体" w:hAnsi="宋体"/>
          <w:szCs w:val="21"/>
        </w:rPr>
        <w:t>C</w:t>
      </w:r>
      <w:r>
        <w:rPr>
          <w:rFonts w:ascii="宋体" w:eastAsia="宋体" w:hAnsi="宋体" w:hint="eastAsia"/>
          <w:szCs w:val="21"/>
        </w:rPr>
        <w:t>、大屏可实时查看系统内各项设备的运行状态及告警信息。系统支持告警信息多样通讯方式（短信、电话、消息</w:t>
      </w:r>
      <w:r>
        <w:rPr>
          <w:rFonts w:ascii="宋体" w:eastAsia="宋体" w:hAnsi="宋体"/>
          <w:szCs w:val="21"/>
        </w:rPr>
        <w:t>推送</w:t>
      </w:r>
      <w:r>
        <w:rPr>
          <w:rFonts w:ascii="宋体" w:eastAsia="宋体" w:hAnsi="宋体" w:hint="eastAsia"/>
          <w:szCs w:val="21"/>
        </w:rPr>
        <w:t>），及时将消防告警信息的具体情况（如告警类型、告警时间、告警位置）发送给指定的安保人员，做到第一时间确认、处理消控告警事件。</w:t>
      </w:r>
    </w:p>
    <w:p w:rsidR="00457DFB" w:rsidRDefault="00BB0610" w:rsidP="004A43AB">
      <w:pPr>
        <w:numPr>
          <w:ilvl w:val="0"/>
          <w:numId w:val="1"/>
        </w:numPr>
        <w:adjustRightInd w:val="0"/>
        <w:snapToGrid w:val="0"/>
        <w:spacing w:line="360" w:lineRule="auto"/>
        <w:ind w:firstLineChars="202" w:firstLine="424"/>
        <w:jc w:val="left"/>
        <w:rPr>
          <w:rFonts w:ascii="宋体" w:eastAsia="宋体" w:hAnsi="宋体"/>
          <w:szCs w:val="21"/>
        </w:rPr>
      </w:pPr>
      <w:r>
        <w:rPr>
          <w:rFonts w:ascii="宋体" w:eastAsia="宋体" w:hAnsi="宋体" w:hint="eastAsia"/>
          <w:szCs w:val="21"/>
        </w:rPr>
        <w:t>运维服务要求</w:t>
      </w:r>
    </w:p>
    <w:p w:rsidR="00457DFB" w:rsidRDefault="00BB0610" w:rsidP="004A43AB">
      <w:pPr>
        <w:spacing w:line="360" w:lineRule="auto"/>
        <w:ind w:firstLineChars="202" w:firstLine="424"/>
      </w:pPr>
      <w:r>
        <w:t>1</w:t>
      </w:r>
      <w:r>
        <w:rPr>
          <w:rFonts w:hint="eastAsia"/>
        </w:rPr>
        <w:t>）配备专业维护人员，负责日常维护工作；</w:t>
      </w:r>
    </w:p>
    <w:p w:rsidR="00457DFB" w:rsidRDefault="00BB0610" w:rsidP="004A43AB">
      <w:pPr>
        <w:spacing w:line="360" w:lineRule="auto"/>
        <w:ind w:firstLineChars="202" w:firstLine="424"/>
      </w:pPr>
      <w:r>
        <w:t>2</w:t>
      </w:r>
      <w:r>
        <w:rPr>
          <w:rFonts w:hint="eastAsia"/>
        </w:rPr>
        <w:t>）硬件故障根据服务等级内需立即进行响应；</w:t>
      </w:r>
    </w:p>
    <w:p w:rsidR="00457DFB" w:rsidRDefault="00BB0610" w:rsidP="004A43AB">
      <w:pPr>
        <w:spacing w:line="360" w:lineRule="auto"/>
        <w:ind w:firstLineChars="202" w:firstLine="424"/>
      </w:pPr>
      <w:r>
        <w:t>3</w:t>
      </w:r>
      <w:r>
        <w:rPr>
          <w:rFonts w:hint="eastAsia"/>
        </w:rPr>
        <w:t>）定期进行技术交流和沟通，协助更好地实现平稳运维；</w:t>
      </w:r>
    </w:p>
    <w:p w:rsidR="00457DFB" w:rsidRDefault="00BB0610" w:rsidP="004A43AB">
      <w:pPr>
        <w:spacing w:line="360" w:lineRule="auto"/>
        <w:ind w:firstLineChars="202" w:firstLine="424"/>
      </w:pPr>
      <w:r>
        <w:t>4</w:t>
      </w:r>
      <w:r>
        <w:rPr>
          <w:rFonts w:hint="eastAsia"/>
        </w:rPr>
        <w:t>）项目实施有涉及到本项目相关设备产品时，积极提供技术支持；</w:t>
      </w:r>
    </w:p>
    <w:p w:rsidR="00457DFB" w:rsidRDefault="00BB0610" w:rsidP="004A43AB">
      <w:pPr>
        <w:spacing w:line="360" w:lineRule="auto"/>
        <w:ind w:firstLineChars="202" w:firstLine="424"/>
      </w:pPr>
      <w:r>
        <w:t>5</w:t>
      </w:r>
      <w:r>
        <w:rPr>
          <w:rFonts w:hint="eastAsia"/>
        </w:rPr>
        <w:t>）系统维护期内配合在现场解决系统软硬件故障，服务范围包括但不限于：在系统试运行期间负责承担技术支持、问题跟踪处理、系统优化完善等现场运维服务工作；</w:t>
      </w:r>
    </w:p>
    <w:p w:rsidR="00457DFB" w:rsidRDefault="00BB0610" w:rsidP="004A43AB">
      <w:pPr>
        <w:spacing w:line="360" w:lineRule="auto"/>
        <w:ind w:firstLineChars="202" w:firstLine="424"/>
      </w:pPr>
      <w:r>
        <w:t>6</w:t>
      </w:r>
      <w:r>
        <w:rPr>
          <w:rFonts w:hint="eastAsia"/>
        </w:rPr>
        <w:t>）设立维护热线，提供电话技术咨询服务；</w:t>
      </w:r>
    </w:p>
    <w:p w:rsidR="00457DFB" w:rsidRDefault="00BB0610" w:rsidP="004A43AB">
      <w:pPr>
        <w:adjustRightInd w:val="0"/>
        <w:snapToGrid w:val="0"/>
        <w:spacing w:line="360" w:lineRule="auto"/>
        <w:ind w:firstLineChars="202" w:firstLine="424"/>
        <w:jc w:val="left"/>
      </w:pPr>
      <w:r>
        <w:t>7</w:t>
      </w:r>
      <w:r>
        <w:rPr>
          <w:rFonts w:hint="eastAsia"/>
        </w:rPr>
        <w:t>）如系统软件或配套设施的故障，故障由技术人员进行排除或系统调优或重置</w:t>
      </w:r>
      <w:r w:rsidR="003F211C">
        <w:rPr>
          <w:rFonts w:hint="eastAsia"/>
        </w:rPr>
        <w:t>；</w:t>
      </w:r>
    </w:p>
    <w:p w:rsidR="003F211C" w:rsidRDefault="003F211C" w:rsidP="004A43AB">
      <w:pPr>
        <w:adjustRightInd w:val="0"/>
        <w:snapToGrid w:val="0"/>
        <w:spacing w:line="360" w:lineRule="auto"/>
        <w:ind w:firstLineChars="202" w:firstLine="424"/>
        <w:jc w:val="left"/>
      </w:pPr>
      <w:r>
        <w:rPr>
          <w:rFonts w:hint="eastAsia"/>
        </w:rPr>
        <w:lastRenderedPageBreak/>
        <w:t>8</w:t>
      </w:r>
      <w:r>
        <w:rPr>
          <w:rFonts w:hint="eastAsia"/>
        </w:rPr>
        <w:t>）提供常规硬件单价。</w:t>
      </w:r>
    </w:p>
    <w:p w:rsidR="004A43AB" w:rsidRDefault="00BB0610" w:rsidP="004A43AB">
      <w:pPr>
        <w:adjustRightInd w:val="0"/>
        <w:snapToGrid w:val="0"/>
        <w:spacing w:line="360" w:lineRule="auto"/>
        <w:ind w:firstLineChars="202" w:firstLine="424"/>
        <w:jc w:val="left"/>
        <w:rPr>
          <w:rFonts w:hint="eastAsia"/>
        </w:rPr>
      </w:pPr>
      <w:r>
        <w:rPr>
          <w:rFonts w:hint="eastAsia"/>
        </w:rPr>
        <w:t>三</w:t>
      </w:r>
      <w:r w:rsidR="004A43AB">
        <w:rPr>
          <w:rFonts w:hint="eastAsia"/>
        </w:rPr>
        <w:t>：商务需求</w:t>
      </w:r>
    </w:p>
    <w:p w:rsidR="00950864" w:rsidRDefault="00950864" w:rsidP="004A43AB">
      <w:pPr>
        <w:adjustRightInd w:val="0"/>
        <w:snapToGrid w:val="0"/>
        <w:spacing w:line="360" w:lineRule="auto"/>
        <w:ind w:firstLineChars="202" w:firstLine="424"/>
        <w:jc w:val="left"/>
      </w:pPr>
      <w:r>
        <w:rPr>
          <w:rFonts w:hint="eastAsia"/>
        </w:rPr>
        <w:t>项目按年度考核，考核合格后合同继续履行。</w:t>
      </w:r>
    </w:p>
    <w:p w:rsidR="004A43AB" w:rsidRDefault="004A43AB" w:rsidP="004A43AB">
      <w:pPr>
        <w:adjustRightInd w:val="0"/>
        <w:snapToGrid w:val="0"/>
        <w:spacing w:line="360" w:lineRule="auto"/>
        <w:ind w:firstLineChars="202" w:firstLine="424"/>
        <w:jc w:val="left"/>
      </w:pPr>
      <w:r>
        <w:rPr>
          <w:rFonts w:hint="eastAsia"/>
        </w:rPr>
        <w:t>付款方式：</w:t>
      </w:r>
      <w:r w:rsidRPr="004A43AB">
        <w:rPr>
          <w:rFonts w:hint="eastAsia"/>
        </w:rPr>
        <w:t>分三次支付，服务期开始后</w:t>
      </w:r>
      <w:r w:rsidR="00AE41CD">
        <w:rPr>
          <w:rFonts w:hint="eastAsia"/>
        </w:rPr>
        <w:t>分别在</w:t>
      </w:r>
      <w:r w:rsidRPr="004A43AB">
        <w:rPr>
          <w:rFonts w:hint="eastAsia"/>
        </w:rPr>
        <w:t>第六个月，第十八个月，第三十个月收到正规发票</w:t>
      </w:r>
      <w:r w:rsidRPr="004A43AB">
        <w:rPr>
          <w:rFonts w:hint="eastAsia"/>
        </w:rPr>
        <w:t>60</w:t>
      </w:r>
      <w:r w:rsidRPr="004A43AB">
        <w:rPr>
          <w:rFonts w:hint="eastAsia"/>
        </w:rPr>
        <w:t>日内支付合同总价的三分之一。</w:t>
      </w:r>
    </w:p>
    <w:p w:rsidR="00457DFB" w:rsidRDefault="00457DFB" w:rsidP="004A43AB">
      <w:pPr>
        <w:adjustRightInd w:val="0"/>
        <w:snapToGrid w:val="0"/>
        <w:spacing w:line="360" w:lineRule="auto"/>
        <w:ind w:firstLineChars="202" w:firstLine="424"/>
        <w:jc w:val="left"/>
      </w:pPr>
    </w:p>
    <w:sectPr w:rsidR="00457DFB" w:rsidSect="003004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5BC" w:rsidRDefault="005315BC" w:rsidP="0051243B">
      <w:r>
        <w:separator/>
      </w:r>
    </w:p>
  </w:endnote>
  <w:endnote w:type="continuationSeparator" w:id="1">
    <w:p w:rsidR="005315BC" w:rsidRDefault="005315BC" w:rsidP="00512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5BC" w:rsidRDefault="005315BC" w:rsidP="0051243B">
      <w:r>
        <w:separator/>
      </w:r>
    </w:p>
  </w:footnote>
  <w:footnote w:type="continuationSeparator" w:id="1">
    <w:p w:rsidR="005315BC" w:rsidRDefault="005315BC" w:rsidP="00512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F6D9CF"/>
    <w:multiLevelType w:val="singleLevel"/>
    <w:tmpl w:val="EAF6D9C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DFB"/>
    <w:rsid w:val="000C2F66"/>
    <w:rsid w:val="001C60EF"/>
    <w:rsid w:val="00300487"/>
    <w:rsid w:val="003B68F1"/>
    <w:rsid w:val="003F211C"/>
    <w:rsid w:val="00457DFB"/>
    <w:rsid w:val="004A43AB"/>
    <w:rsid w:val="004D42ED"/>
    <w:rsid w:val="0051243B"/>
    <w:rsid w:val="005315BC"/>
    <w:rsid w:val="0059483D"/>
    <w:rsid w:val="006B71E4"/>
    <w:rsid w:val="0089038A"/>
    <w:rsid w:val="008B63AB"/>
    <w:rsid w:val="00950864"/>
    <w:rsid w:val="00AE41CD"/>
    <w:rsid w:val="00B50BE2"/>
    <w:rsid w:val="00BB0610"/>
    <w:rsid w:val="00BB6A40"/>
    <w:rsid w:val="3E4271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4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04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12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243B"/>
    <w:rPr>
      <w:kern w:val="2"/>
      <w:sz w:val="18"/>
      <w:szCs w:val="18"/>
    </w:rPr>
  </w:style>
  <w:style w:type="paragraph" w:styleId="a5">
    <w:name w:val="footer"/>
    <w:basedOn w:val="a"/>
    <w:link w:val="Char0"/>
    <w:rsid w:val="0051243B"/>
    <w:pPr>
      <w:tabs>
        <w:tab w:val="center" w:pos="4153"/>
        <w:tab w:val="right" w:pos="8306"/>
      </w:tabs>
      <w:snapToGrid w:val="0"/>
      <w:jc w:val="left"/>
    </w:pPr>
    <w:rPr>
      <w:sz w:val="18"/>
      <w:szCs w:val="18"/>
    </w:rPr>
  </w:style>
  <w:style w:type="character" w:customStyle="1" w:styleId="Char0">
    <w:name w:val="页脚 Char"/>
    <w:basedOn w:val="a0"/>
    <w:link w:val="a5"/>
    <w:rsid w:val="0051243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顾宇阳</cp:lastModifiedBy>
  <cp:revision>14</cp:revision>
  <dcterms:created xsi:type="dcterms:W3CDTF">2021-08-05T08:51:00Z</dcterms:created>
  <dcterms:modified xsi:type="dcterms:W3CDTF">2021-08-10T00:48:00Z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CE09FED6E9384E97966AD2B4052A9566</vt:lpwstr>
  </property>
</Properties>
</file>