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7B" w:rsidRDefault="00A55B13">
      <w:pPr>
        <w:pStyle w:val="1"/>
        <w:keepLines/>
        <w:numPr>
          <w:ilvl w:val="0"/>
          <w:numId w:val="2"/>
        </w:numPr>
        <w:spacing w:before="120" w:after="120"/>
        <w:jc w:val="left"/>
        <w:rPr>
          <w:rFonts w:asciiTheme="minorHAnsi" w:eastAsia="微软雅黑" w:hAnsiTheme="minorHAnsi" w:cstheme="minorBidi"/>
          <w:bCs/>
          <w:kern w:val="44"/>
          <w:szCs w:val="44"/>
          <w:lang/>
        </w:rPr>
      </w:pPr>
      <w:r>
        <w:rPr>
          <w:rFonts w:asciiTheme="minorHAnsi" w:eastAsia="微软雅黑" w:hAnsiTheme="minorHAnsi" w:cstheme="minorBidi" w:hint="eastAsia"/>
          <w:bCs/>
          <w:kern w:val="44"/>
          <w:szCs w:val="44"/>
          <w:lang/>
        </w:rPr>
        <w:t>采购内容及需求</w:t>
      </w:r>
    </w:p>
    <w:p w:rsidR="0061457B" w:rsidRDefault="00A55B13">
      <w:pPr>
        <w:pStyle w:val="2"/>
        <w:rPr>
          <w:rFonts w:ascii="微软雅黑" w:hAnsi="微软雅黑"/>
        </w:rPr>
      </w:pPr>
      <w:r>
        <w:rPr>
          <w:rFonts w:ascii="微软雅黑" w:hAnsi="微软雅黑" w:hint="eastAsia"/>
        </w:rPr>
        <w:t>项目建设背景</w:t>
      </w:r>
    </w:p>
    <w:p w:rsidR="0061457B" w:rsidRDefault="00A55B13">
      <w:pPr>
        <w:ind w:firstLine="48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自新冠疫情发生以来,我国疫情防控取得了积极成果，疫情总体得到了有效控制，疫情防控也步入常态化。但是，当前境外疫情大流行势头未得到有效遏制，新冠病毒也已发生变异，全球疫情流行最主要毒株“德尔塔”现已流入我国，陕西、河南及天津多地再次发生多起聚集性疫情，我国局部聚集性疫情突发风险依旧较大，各地各部门疫情防控任务依旧艰巨繁重。</w:t>
      </w:r>
    </w:p>
    <w:p w:rsidR="0061457B" w:rsidRDefault="00A55B13">
      <w:pPr>
        <w:ind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近日，为有效防范新冠疫情，在国务院联防联控机制电视电话会议上，中共中央政治局委员、国务院副总理孙春兰出席会议并讲话，要求在全国组织开展院感防控专项排查行动，对不符合院感防控要求的限时整改，整改不到位的坚决关停。</w:t>
      </w:r>
    </w:p>
    <w:p w:rsidR="0061457B" w:rsidRDefault="00A55B13">
      <w:pPr>
        <w:ind w:firstLine="480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此外，国务院发布的《关于依法科学精准做好新冠肺炎疫情防控工作的通知》等指示内容，要求企事业单位做好工作场所防控，加强进出人员登记管理，鼓励实行动态健康认证，有条件的地区推广个人健康码等信息平台；国家卫生健康委发布《关于进一步加强社会办医管理做好新冠肺炎疫情防控工作的通知》要求医疗机构做好新冠病毒预防及控制工作，坚决防范交叉感染。2020年底至今，随着新冠疫苗的成功研发，我国开展了新冠疫苗全民免费接种工作，为疫情防控提供了有效手段，为共筑全民免疫长城奠定了良好基础。</w:t>
      </w:r>
    </w:p>
    <w:p w:rsidR="0061457B" w:rsidRDefault="00A55B13">
      <w:pPr>
        <w:ind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为深入贯彻落实各级疫情防控要求，有效强化医院防疫通行管理效率，</w:t>
      </w:r>
      <w:r>
        <w:rPr>
          <w:rFonts w:ascii="微软雅黑" w:eastAsia="微软雅黑" w:hAnsi="微软雅黑" w:cs="微软雅黑" w:hint="eastAsia"/>
          <w:sz w:val="24"/>
        </w:rPr>
        <w:t>降低潜在院内交叉感染风险，切实把好就医通行“入口关”。迫切需要创新疫情防控手段，依托数字化防疫平台及智能化防疫终端，实现患者、家属及职工等人员便</w:t>
      </w:r>
      <w:r>
        <w:rPr>
          <w:rFonts w:ascii="微软雅黑" w:eastAsia="微软雅黑" w:hAnsi="微软雅黑" w:cs="微软雅黑" w:hint="eastAsia"/>
          <w:sz w:val="24"/>
        </w:rPr>
        <w:lastRenderedPageBreak/>
        <w:t>捷通行管理全覆盖，辅助医院疫情防控工作落到实处。</w:t>
      </w:r>
    </w:p>
    <w:p w:rsidR="0061457B" w:rsidRDefault="00A55B13">
      <w:pPr>
        <w:pStyle w:val="2"/>
        <w:rPr>
          <w:rFonts w:ascii="微软雅黑" w:hAnsi="微软雅黑"/>
        </w:rPr>
      </w:pPr>
      <w:r>
        <w:rPr>
          <w:rFonts w:ascii="微软雅黑" w:hAnsi="微软雅黑" w:hint="eastAsia"/>
        </w:rPr>
        <w:t>建设目标</w:t>
      </w:r>
    </w:p>
    <w:p w:rsidR="0061457B" w:rsidRDefault="00A55B13">
      <w:pPr>
        <w:pStyle w:val="3"/>
        <w:rPr>
          <w:rFonts w:ascii="微软雅黑" w:hAnsi="微软雅黑" w:cs="微软雅黑"/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智能化、便捷化通行管控</w:t>
      </w:r>
    </w:p>
    <w:p w:rsidR="0061457B" w:rsidRDefault="00A55B13">
      <w:pPr>
        <w:ind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实现陪护人员陪护证自助办理，支持核酸检测结果信息对接校验或检测报告自主上传医护审核；</w:t>
      </w:r>
    </w:p>
    <w:p w:rsidR="0061457B" w:rsidRDefault="00A55B13">
      <w:pPr>
        <w:ind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实现智能认证及快速通行，支持通过刷身份证、刷市民卡、刷脸、健康码扫码等“卡码融合”方式完成身份登记，系统同步验证通行人员体温信息及健康码状态，支持结合闸机实现无人值守通行管理。</w:t>
      </w:r>
    </w:p>
    <w:p w:rsidR="0061457B" w:rsidRDefault="00A55B13">
      <w:pPr>
        <w:pStyle w:val="3"/>
        <w:rPr>
          <w:rFonts w:ascii="微软雅黑" w:hAnsi="微软雅黑" w:cs="微软雅黑"/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数字化、精准化风险防控</w:t>
      </w:r>
    </w:p>
    <w:p w:rsidR="0061457B" w:rsidRDefault="00A55B13">
      <w:pPr>
        <w:ind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实现全院各个出入口通行信息的自主管理，后台系统可查询各类人员通行证、通行记录，方便追溯，辅助全院疫情防控。</w:t>
      </w:r>
    </w:p>
    <w:p w:rsidR="0061457B" w:rsidRDefault="00A55B13">
      <w:pPr>
        <w:pStyle w:val="2"/>
        <w:rPr>
          <w:rFonts w:ascii="微软雅黑" w:hAnsi="微软雅黑"/>
        </w:rPr>
      </w:pPr>
      <w:r>
        <w:rPr>
          <w:rFonts w:ascii="微软雅黑" w:hAnsi="微软雅黑" w:hint="eastAsia"/>
        </w:rPr>
        <w:t>项目建设清单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1"/>
        <w:gridCol w:w="2116"/>
        <w:gridCol w:w="5070"/>
        <w:gridCol w:w="663"/>
      </w:tblGrid>
      <w:tr w:rsidR="0061457B">
        <w:trPr>
          <w:trHeight w:val="20"/>
          <w:jc w:val="center"/>
        </w:trPr>
        <w:tc>
          <w:tcPr>
            <w:tcW w:w="48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序号</w:t>
            </w:r>
          </w:p>
        </w:tc>
        <w:tc>
          <w:tcPr>
            <w:tcW w:w="211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产品名称</w:t>
            </w:r>
          </w:p>
        </w:tc>
        <w:tc>
          <w:tcPr>
            <w:tcW w:w="507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功能简述</w:t>
            </w:r>
          </w:p>
        </w:tc>
        <w:tc>
          <w:tcPr>
            <w:tcW w:w="66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数量</w:t>
            </w:r>
          </w:p>
        </w:tc>
      </w:tr>
      <w:tr w:rsidR="0061457B">
        <w:trPr>
          <w:trHeight w:val="20"/>
          <w:jc w:val="center"/>
        </w:trPr>
        <w:tc>
          <w:tcPr>
            <w:tcW w:w="8330" w:type="dxa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（A）软件平台</w:t>
            </w:r>
          </w:p>
        </w:tc>
      </w:tr>
      <w:tr w:rsidR="0061457B">
        <w:trPr>
          <w:trHeight w:val="20"/>
          <w:jc w:val="center"/>
        </w:trPr>
        <w:tc>
          <w:tcPr>
            <w:tcW w:w="48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</w:p>
        </w:tc>
        <w:tc>
          <w:tcPr>
            <w:tcW w:w="211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智能住院通行软件</w:t>
            </w:r>
          </w:p>
        </w:tc>
        <w:tc>
          <w:tcPr>
            <w:tcW w:w="507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具备用户端、医护管理端及系统管理后台等模块，辅助用户实现身份信息登记、陪护证申领办理及便捷化住院通行，辅助院方实现各类电子化证件及通信记录的统计溯源管理。</w:t>
            </w:r>
          </w:p>
        </w:tc>
        <w:tc>
          <w:tcPr>
            <w:tcW w:w="66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1套</w:t>
            </w:r>
          </w:p>
        </w:tc>
      </w:tr>
      <w:tr w:rsidR="0061457B">
        <w:trPr>
          <w:trHeight w:val="20"/>
          <w:jc w:val="center"/>
        </w:trPr>
        <w:tc>
          <w:tcPr>
            <w:tcW w:w="8330" w:type="dxa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（B）硬件设备</w:t>
            </w:r>
          </w:p>
        </w:tc>
      </w:tr>
      <w:tr w:rsidR="0061457B">
        <w:trPr>
          <w:trHeight w:val="20"/>
          <w:jc w:val="center"/>
        </w:trPr>
        <w:tc>
          <w:tcPr>
            <w:tcW w:w="48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lastRenderedPageBreak/>
              <w:t>2</w:t>
            </w:r>
          </w:p>
        </w:tc>
        <w:tc>
          <w:tcPr>
            <w:tcW w:w="211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住院通行智能终端</w:t>
            </w:r>
          </w:p>
        </w:tc>
        <w:tc>
          <w:tcPr>
            <w:tcW w:w="507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ind w:firstLineChars="200" w:firstLine="48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具备红外测温、人脸识别、身份证识别及扫码等功能模块，实现住院通行人员身份信息快速识别及体温信息智能感知。</w:t>
            </w:r>
          </w:p>
          <w:p w:rsidR="0061457B" w:rsidRDefault="00A55B13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滨江院区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：4台智能终端用于闸机通行管控，1台智能终端用于陪护办理及人脸补录。</w:t>
            </w:r>
          </w:p>
          <w:p w:rsidR="0061457B" w:rsidRDefault="00A55B13"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湖滨院区：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3台智能终端用于闸机通行管控，1台智能终端用于陪护办理及人脸补录</w:t>
            </w:r>
          </w:p>
        </w:tc>
        <w:tc>
          <w:tcPr>
            <w:tcW w:w="66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9台</w:t>
            </w:r>
          </w:p>
        </w:tc>
      </w:tr>
      <w:tr w:rsidR="0061457B">
        <w:trPr>
          <w:trHeight w:val="20"/>
          <w:jc w:val="center"/>
        </w:trPr>
        <w:tc>
          <w:tcPr>
            <w:tcW w:w="48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3</w:t>
            </w:r>
          </w:p>
        </w:tc>
        <w:tc>
          <w:tcPr>
            <w:tcW w:w="211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通行闸机</w:t>
            </w:r>
          </w:p>
        </w:tc>
        <w:tc>
          <w:tcPr>
            <w:tcW w:w="507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ind w:firstLineChars="200" w:firstLine="48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具备红外检测及防尾随等功能，结合住院通行智能终端实现无人值守通行管理。</w:t>
            </w:r>
          </w:p>
          <w:p w:rsidR="0061457B" w:rsidRDefault="00A55B13">
            <w:pPr>
              <w:ind w:firstLineChars="200" w:firstLine="48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共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9个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/>
              </w:rPr>
              <w:t>通道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（涉及单机芯闸机10台，双机芯闸机4台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）。</w:t>
            </w:r>
          </w:p>
          <w:p w:rsidR="0061457B" w:rsidRDefault="00A55B13">
            <w:pPr>
              <w:ind w:firstLineChars="200" w:firstLine="48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滨江院区住院楼一楼三通道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（一个人行出口通道，一个人行入口通道，一个病床同进同出通道）；</w:t>
            </w:r>
          </w:p>
          <w:p w:rsidR="0061457B" w:rsidRDefault="00A55B13">
            <w:pPr>
              <w:ind w:firstLineChars="200" w:firstLine="48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滨江院区住院楼二楼单通道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（一个病床同进同出通道）；</w:t>
            </w:r>
          </w:p>
          <w:p w:rsidR="0061457B" w:rsidRDefault="00A55B13">
            <w:pPr>
              <w:ind w:firstLineChars="200" w:firstLine="48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滨江院区住院楼三楼单通道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（一个病床同进同出通道）；</w:t>
            </w:r>
          </w:p>
          <w:p w:rsidR="0061457B" w:rsidRDefault="00A55B13">
            <w:pPr>
              <w:ind w:firstLineChars="200" w:firstLine="48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湖滨院区住院楼一楼电梯厅靠住院大厅入口三通道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（一个人行出口通道，一个人行入口通道，一个病床同进同出通道）；</w:t>
            </w:r>
          </w:p>
          <w:p w:rsidR="0061457B" w:rsidRDefault="00A55B13">
            <w:pPr>
              <w:ind w:firstLineChars="200" w:firstLine="48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湖滨院区住院楼一楼电梯厅住院服务中心内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lastRenderedPageBreak/>
              <w:t>侧入口单通道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（一个人行出入口通道）。</w:t>
            </w:r>
          </w:p>
        </w:tc>
        <w:tc>
          <w:tcPr>
            <w:tcW w:w="66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center"/>
              <w:rPr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lastRenderedPageBreak/>
              <w:t>9套</w:t>
            </w:r>
          </w:p>
        </w:tc>
      </w:tr>
      <w:tr w:rsidR="0061457B">
        <w:trPr>
          <w:trHeight w:val="20"/>
          <w:jc w:val="center"/>
        </w:trPr>
        <w:tc>
          <w:tcPr>
            <w:tcW w:w="48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lastRenderedPageBreak/>
              <w:t>4</w:t>
            </w:r>
          </w:p>
        </w:tc>
        <w:tc>
          <w:tcPr>
            <w:tcW w:w="211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入网方式</w:t>
            </w:r>
          </w:p>
        </w:tc>
        <w:tc>
          <w:tcPr>
            <w:tcW w:w="507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支持网线、无线、4G物联网卡三种连接方式。</w:t>
            </w:r>
          </w:p>
        </w:tc>
        <w:tc>
          <w:tcPr>
            <w:tcW w:w="66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1项</w:t>
            </w:r>
          </w:p>
        </w:tc>
      </w:tr>
      <w:tr w:rsidR="0061457B">
        <w:trPr>
          <w:trHeight w:val="20"/>
          <w:jc w:val="center"/>
        </w:trPr>
        <w:tc>
          <w:tcPr>
            <w:tcW w:w="48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5</w:t>
            </w:r>
          </w:p>
        </w:tc>
        <w:tc>
          <w:tcPr>
            <w:tcW w:w="211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宣传物料</w:t>
            </w:r>
          </w:p>
        </w:tc>
        <w:tc>
          <w:tcPr>
            <w:tcW w:w="507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宣传物料包括闸机设备上面的通行指引、陪护证申领、人脸录入流程等操作相关的易拉宝或海报。</w:t>
            </w:r>
          </w:p>
        </w:tc>
        <w:tc>
          <w:tcPr>
            <w:tcW w:w="66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1套</w:t>
            </w:r>
          </w:p>
        </w:tc>
      </w:tr>
      <w:tr w:rsidR="0061457B">
        <w:trPr>
          <w:trHeight w:val="20"/>
          <w:jc w:val="center"/>
        </w:trPr>
        <w:tc>
          <w:tcPr>
            <w:tcW w:w="48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6</w:t>
            </w:r>
          </w:p>
        </w:tc>
        <w:tc>
          <w:tcPr>
            <w:tcW w:w="211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安装实施</w:t>
            </w:r>
          </w:p>
        </w:tc>
        <w:tc>
          <w:tcPr>
            <w:tcW w:w="507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包含所有软硬件的安装、闸机弱电线路的安装及宣传物料的铺设。</w:t>
            </w:r>
          </w:p>
        </w:tc>
        <w:tc>
          <w:tcPr>
            <w:tcW w:w="66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1套</w:t>
            </w:r>
          </w:p>
        </w:tc>
      </w:tr>
      <w:tr w:rsidR="0061457B">
        <w:trPr>
          <w:trHeight w:val="20"/>
          <w:jc w:val="center"/>
        </w:trPr>
        <w:tc>
          <w:tcPr>
            <w:tcW w:w="48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7</w:t>
            </w:r>
          </w:p>
        </w:tc>
        <w:tc>
          <w:tcPr>
            <w:tcW w:w="211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安装工期</w:t>
            </w:r>
          </w:p>
        </w:tc>
        <w:tc>
          <w:tcPr>
            <w:tcW w:w="507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要求14天内完成。</w:t>
            </w:r>
          </w:p>
        </w:tc>
        <w:tc>
          <w:tcPr>
            <w:tcW w:w="66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1457B" w:rsidRDefault="00A55B13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1项</w:t>
            </w:r>
          </w:p>
        </w:tc>
      </w:tr>
    </w:tbl>
    <w:p w:rsidR="0061457B" w:rsidRDefault="00A55B13">
      <w:pPr>
        <w:pStyle w:val="2"/>
        <w:rPr>
          <w:rFonts w:ascii="微软雅黑" w:hAnsi="微软雅黑"/>
        </w:rPr>
      </w:pPr>
      <w:r>
        <w:rPr>
          <w:rFonts w:ascii="微软雅黑" w:hAnsi="微软雅黑" w:hint="eastAsia"/>
        </w:rPr>
        <w:t>项目建设要求</w:t>
      </w:r>
    </w:p>
    <w:p w:rsidR="0061457B" w:rsidRDefault="00A55B13">
      <w:pPr>
        <w:pStyle w:val="3"/>
        <w:rPr>
          <w:rFonts w:ascii="微软雅黑" w:hAnsi="微软雅黑"/>
        </w:rPr>
      </w:pPr>
      <w:r>
        <w:rPr>
          <w:rFonts w:ascii="微软雅黑" w:hAnsi="微软雅黑" w:hint="eastAsia"/>
        </w:rPr>
        <w:t>软件平台功能需求</w:t>
      </w:r>
    </w:p>
    <w:tbl>
      <w:tblPr>
        <w:tblW w:w="8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039"/>
        <w:gridCol w:w="2159"/>
        <w:gridCol w:w="4197"/>
        <w:gridCol w:w="798"/>
      </w:tblGrid>
      <w:tr w:rsidR="0061457B">
        <w:trPr>
          <w:jc w:val="center"/>
        </w:trPr>
        <w:tc>
          <w:tcPr>
            <w:tcW w:w="514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序号</w:t>
            </w:r>
          </w:p>
        </w:tc>
        <w:tc>
          <w:tcPr>
            <w:tcW w:w="3198" w:type="dxa"/>
            <w:gridSpan w:val="2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系统功能模块</w:t>
            </w:r>
          </w:p>
        </w:tc>
        <w:tc>
          <w:tcPr>
            <w:tcW w:w="4197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描述</w:t>
            </w:r>
          </w:p>
        </w:tc>
        <w:tc>
          <w:tcPr>
            <w:tcW w:w="79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数量</w:t>
            </w:r>
          </w:p>
        </w:tc>
      </w:tr>
      <w:tr w:rsidR="0061457B">
        <w:trPr>
          <w:jc w:val="center"/>
        </w:trPr>
        <w:tc>
          <w:tcPr>
            <w:tcW w:w="7909" w:type="dxa"/>
            <w:gridSpan w:val="4"/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（一）智能住院通行管理系统</w:t>
            </w:r>
          </w:p>
        </w:tc>
        <w:tc>
          <w:tcPr>
            <w:tcW w:w="798" w:type="dxa"/>
            <w:vMerge w:val="restart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1套</w:t>
            </w:r>
          </w:p>
        </w:tc>
      </w:tr>
      <w:tr w:rsidR="0061457B">
        <w:trPr>
          <w:jc w:val="center"/>
        </w:trPr>
        <w:tc>
          <w:tcPr>
            <w:tcW w:w="514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1</w:t>
            </w:r>
          </w:p>
        </w:tc>
        <w:tc>
          <w:tcPr>
            <w:tcW w:w="1039" w:type="dxa"/>
            <w:vMerge w:val="restart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用户端</w:t>
            </w:r>
          </w:p>
        </w:tc>
        <w:tc>
          <w:tcPr>
            <w:tcW w:w="2159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通行证申领</w:t>
            </w:r>
          </w:p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（微信小程序）</w:t>
            </w:r>
          </w:p>
        </w:tc>
        <w:tc>
          <w:tcPr>
            <w:tcW w:w="4197" w:type="dxa"/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★支持患者、陪护、职工及临时人员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扫描</w:t>
            </w: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海报二维码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进入微信小程序</w:t>
            </w: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登记个人信息，系统自动生成相应类型的二维码通行证（针对没有身份证的儿童患者，系统可自动基于住院号为其申领通行证），支持关联上传个人人脸信息，便于后续刷脸通行。（提供系统功能截图材料）</w:t>
            </w:r>
          </w:p>
        </w:tc>
        <w:tc>
          <w:tcPr>
            <w:tcW w:w="798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jc w:val="center"/>
        </w:trPr>
        <w:tc>
          <w:tcPr>
            <w:tcW w:w="514" w:type="dxa"/>
            <w:vMerge w:val="restart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2</w:t>
            </w:r>
          </w:p>
        </w:tc>
        <w:tc>
          <w:tcPr>
            <w:tcW w:w="1039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陪护证申领</w:t>
            </w:r>
          </w:p>
          <w:p w:rsidR="0061457B" w:rsidRDefault="00A55B13">
            <w:pPr>
              <w:jc w:val="center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lastRenderedPageBreak/>
              <w:t>（智能终端软件）</w:t>
            </w:r>
          </w:p>
        </w:tc>
        <w:tc>
          <w:tcPr>
            <w:tcW w:w="4197" w:type="dxa"/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lastRenderedPageBreak/>
              <w:t>★支持陪护人员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可在智能终端</w:t>
            </w: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刷身份</w:t>
            </w: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lastRenderedPageBreak/>
              <w:t>证、扫码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等多种</w:t>
            </w: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方式申领陪护证，系统自动对接校验陪护人员核酸检测信息，同步支持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扫码</w:t>
            </w: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上传核酸检测报告（提供系统功能截图材料）</w:t>
            </w:r>
          </w:p>
        </w:tc>
        <w:tc>
          <w:tcPr>
            <w:tcW w:w="798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jc w:val="center"/>
        </w:trPr>
        <w:tc>
          <w:tcPr>
            <w:tcW w:w="514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1039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2159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4197" w:type="dxa"/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支持单个患者不同家属申请多个陪护通行证，处于激活状态的有效陪护通行证受限于该患者最大陪护数量。</w:t>
            </w:r>
          </w:p>
        </w:tc>
        <w:tc>
          <w:tcPr>
            <w:tcW w:w="798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jc w:val="center"/>
        </w:trPr>
        <w:tc>
          <w:tcPr>
            <w:tcW w:w="514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3</w:t>
            </w:r>
          </w:p>
        </w:tc>
        <w:tc>
          <w:tcPr>
            <w:tcW w:w="1039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2159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陪护证切换</w:t>
            </w:r>
          </w:p>
          <w:p w:rsidR="0061457B" w:rsidRDefault="00A55B13">
            <w:pPr>
              <w:pStyle w:val="20"/>
              <w:ind w:leftChars="0" w:left="0" w:firstLine="0"/>
              <w:rPr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（智能终端软件）</w:t>
            </w:r>
          </w:p>
        </w:tc>
        <w:tc>
          <w:tcPr>
            <w:tcW w:w="4197" w:type="dxa"/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★支持陪护人员进行已有陪护信息注销及最新陪护证申领（提供系统功能截图材料）</w:t>
            </w:r>
          </w:p>
        </w:tc>
        <w:tc>
          <w:tcPr>
            <w:tcW w:w="798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jc w:val="center"/>
        </w:trPr>
        <w:tc>
          <w:tcPr>
            <w:tcW w:w="514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4</w:t>
            </w:r>
          </w:p>
        </w:tc>
        <w:tc>
          <w:tcPr>
            <w:tcW w:w="1039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2159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便捷通行</w:t>
            </w:r>
          </w:p>
          <w:p w:rsidR="0061457B" w:rsidRDefault="00A55B13">
            <w:pPr>
              <w:pStyle w:val="20"/>
              <w:ind w:leftChars="0" w:left="0" w:firstLine="0"/>
              <w:rPr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（智能终端软件）</w:t>
            </w:r>
          </w:p>
        </w:tc>
        <w:tc>
          <w:tcPr>
            <w:tcW w:w="4197" w:type="dxa"/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★支持患者、家属及职工等人员通过刷脸、刷身份证、刷市民卡及扫健康码的方式进行通行，系统自动校验通行人员安全状态，并语音播报。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（需提供系统通行流程图）</w:t>
            </w:r>
          </w:p>
        </w:tc>
        <w:tc>
          <w:tcPr>
            <w:tcW w:w="798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jc w:val="center"/>
        </w:trPr>
        <w:tc>
          <w:tcPr>
            <w:tcW w:w="514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5</w:t>
            </w:r>
          </w:p>
        </w:tc>
        <w:tc>
          <w:tcPr>
            <w:tcW w:w="1039" w:type="dxa"/>
            <w:vMerge w:val="restart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医护管理端</w:t>
            </w:r>
          </w:p>
        </w:tc>
        <w:tc>
          <w:tcPr>
            <w:tcW w:w="2159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住院证管理</w:t>
            </w:r>
          </w:p>
        </w:tc>
        <w:tc>
          <w:tcPr>
            <w:tcW w:w="4197" w:type="dxa"/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支持查看权限范围内的通行证列表，支持新增、注销住院证及管理患者陪护证。</w:t>
            </w:r>
          </w:p>
        </w:tc>
        <w:tc>
          <w:tcPr>
            <w:tcW w:w="798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jc w:val="center"/>
        </w:trPr>
        <w:tc>
          <w:tcPr>
            <w:tcW w:w="514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6</w:t>
            </w:r>
          </w:p>
        </w:tc>
        <w:tc>
          <w:tcPr>
            <w:tcW w:w="1039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2159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陪护证管理</w:t>
            </w:r>
          </w:p>
        </w:tc>
        <w:tc>
          <w:tcPr>
            <w:tcW w:w="4197" w:type="dxa"/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支持查看权限范围内的陪护证列表，支持陪护证的查询及注销。</w:t>
            </w:r>
          </w:p>
        </w:tc>
        <w:tc>
          <w:tcPr>
            <w:tcW w:w="798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trHeight w:val="1258"/>
          <w:jc w:val="center"/>
        </w:trPr>
        <w:tc>
          <w:tcPr>
            <w:tcW w:w="514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7</w:t>
            </w:r>
          </w:p>
        </w:tc>
        <w:tc>
          <w:tcPr>
            <w:tcW w:w="1039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2159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临时证管理</w:t>
            </w:r>
          </w:p>
        </w:tc>
        <w:tc>
          <w:tcPr>
            <w:tcW w:w="4197" w:type="dxa"/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支持查看权限范围内的临时通行证列表，支持临时通行证的查询及管理。</w:t>
            </w:r>
          </w:p>
        </w:tc>
        <w:tc>
          <w:tcPr>
            <w:tcW w:w="798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jc w:val="center"/>
        </w:trPr>
        <w:tc>
          <w:tcPr>
            <w:tcW w:w="514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lastRenderedPageBreak/>
              <w:t>8</w:t>
            </w:r>
          </w:p>
        </w:tc>
        <w:tc>
          <w:tcPr>
            <w:tcW w:w="1039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2159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临时证申领审核</w:t>
            </w:r>
          </w:p>
        </w:tc>
        <w:tc>
          <w:tcPr>
            <w:tcW w:w="4197" w:type="dxa"/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支持查看权限范围内的临时通行证待审核列表，支持进行查询及审核操作。</w:t>
            </w:r>
          </w:p>
        </w:tc>
        <w:tc>
          <w:tcPr>
            <w:tcW w:w="798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jc w:val="center"/>
        </w:trPr>
        <w:tc>
          <w:tcPr>
            <w:tcW w:w="514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9</w:t>
            </w:r>
          </w:p>
        </w:tc>
        <w:tc>
          <w:tcPr>
            <w:tcW w:w="1039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2159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新冠检测审核</w:t>
            </w:r>
          </w:p>
        </w:tc>
        <w:tc>
          <w:tcPr>
            <w:tcW w:w="4197" w:type="dxa"/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★支持查看权限范围内的核酸检测待审核及已审核列表，支持进行查询及审核操作。（提供系统功能截图材料）</w:t>
            </w:r>
          </w:p>
        </w:tc>
        <w:tc>
          <w:tcPr>
            <w:tcW w:w="798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jc w:val="center"/>
        </w:trPr>
        <w:tc>
          <w:tcPr>
            <w:tcW w:w="514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10</w:t>
            </w:r>
          </w:p>
        </w:tc>
        <w:tc>
          <w:tcPr>
            <w:tcW w:w="1039" w:type="dxa"/>
            <w:vMerge w:val="restart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系统管理后台</w:t>
            </w:r>
          </w:p>
        </w:tc>
        <w:tc>
          <w:tcPr>
            <w:tcW w:w="2159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住院证管理</w:t>
            </w:r>
          </w:p>
        </w:tc>
        <w:tc>
          <w:tcPr>
            <w:tcW w:w="4197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支持按条件查询本院所发放的所有住院证，支持对查询的记录进行导出及新建住院证。</w:t>
            </w:r>
          </w:p>
        </w:tc>
        <w:tc>
          <w:tcPr>
            <w:tcW w:w="798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jc w:val="center"/>
        </w:trPr>
        <w:tc>
          <w:tcPr>
            <w:tcW w:w="514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11</w:t>
            </w:r>
          </w:p>
        </w:tc>
        <w:tc>
          <w:tcPr>
            <w:tcW w:w="1039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2159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陪护证管理</w:t>
            </w:r>
          </w:p>
        </w:tc>
        <w:tc>
          <w:tcPr>
            <w:tcW w:w="4197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支持按条件查询本院所发放的所有陪护证，支持查询记录导出及新建陪护证。</w:t>
            </w:r>
          </w:p>
        </w:tc>
        <w:tc>
          <w:tcPr>
            <w:tcW w:w="798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jc w:val="center"/>
        </w:trPr>
        <w:tc>
          <w:tcPr>
            <w:tcW w:w="514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12</w:t>
            </w:r>
          </w:p>
        </w:tc>
        <w:tc>
          <w:tcPr>
            <w:tcW w:w="1039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2159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探访证管理</w:t>
            </w:r>
          </w:p>
        </w:tc>
        <w:tc>
          <w:tcPr>
            <w:tcW w:w="4197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支持按条件查询的所有临时通行证，支持查询记录导出及新建探访证。</w:t>
            </w:r>
          </w:p>
        </w:tc>
        <w:tc>
          <w:tcPr>
            <w:tcW w:w="798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jc w:val="center"/>
        </w:trPr>
        <w:tc>
          <w:tcPr>
            <w:tcW w:w="514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13</w:t>
            </w:r>
          </w:p>
        </w:tc>
        <w:tc>
          <w:tcPr>
            <w:tcW w:w="1039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2159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职工证管理</w:t>
            </w:r>
          </w:p>
        </w:tc>
        <w:tc>
          <w:tcPr>
            <w:tcW w:w="4197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支持按条件查询院内发放的的所有职工证，支持查询记录导出及新建职工证。</w:t>
            </w:r>
          </w:p>
        </w:tc>
        <w:tc>
          <w:tcPr>
            <w:tcW w:w="798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jc w:val="center"/>
        </w:trPr>
        <w:tc>
          <w:tcPr>
            <w:tcW w:w="514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14</w:t>
            </w:r>
          </w:p>
        </w:tc>
        <w:tc>
          <w:tcPr>
            <w:tcW w:w="1039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2159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通行记录管理</w:t>
            </w:r>
          </w:p>
        </w:tc>
        <w:tc>
          <w:tcPr>
            <w:tcW w:w="4197" w:type="dxa"/>
            <w:vAlign w:val="center"/>
          </w:tcPr>
          <w:p w:rsidR="0061457B" w:rsidRDefault="00A55B13">
            <w:pPr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★支持查询统计导出住院出入人员的通行记录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可以导出，便于后续的数据统计和出入追溯。（提供系统功能截图材料）</w:t>
            </w:r>
          </w:p>
        </w:tc>
        <w:tc>
          <w:tcPr>
            <w:tcW w:w="798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jc w:val="center"/>
        </w:trPr>
        <w:tc>
          <w:tcPr>
            <w:tcW w:w="514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15</w:t>
            </w:r>
          </w:p>
        </w:tc>
        <w:tc>
          <w:tcPr>
            <w:tcW w:w="1039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2159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体温登记管理</w:t>
            </w:r>
          </w:p>
        </w:tc>
        <w:tc>
          <w:tcPr>
            <w:tcW w:w="4197" w:type="dxa"/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支持本院的通行人员体温登记信息的查询统计及导出。</w:t>
            </w:r>
          </w:p>
        </w:tc>
        <w:tc>
          <w:tcPr>
            <w:tcW w:w="798" w:type="dxa"/>
            <w:vMerge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lastRenderedPageBreak/>
              <w:t>16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通行证配置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支持根据医院、病区、患者配置通行证使用规则（包括申领人数、通行时段等），同时支持针对不同病区或不同患者设置相应陪护数量。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  <w:tr w:rsidR="0061457B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  <w:r>
              <w:rPr>
                <w:rFonts w:ascii="微软雅黑" w:eastAsia="微软雅黑" w:hAnsi="微软雅黑" w:cs="微软雅黑"/>
                <w:sz w:val="24"/>
              </w:rPr>
              <w:t>7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黑白名单设置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61457B" w:rsidRDefault="00A55B13">
            <w:pPr>
              <w:jc w:val="left"/>
              <w:rPr>
                <w:rFonts w:ascii="微软雅黑" w:eastAsia="微软雅黑" w:hAnsi="微软雅黑" w:cs="微软雅黑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支持院方根据实际管控需要，设置黑白名单，系统及闸机设备实现联动管控。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1457B" w:rsidRDefault="0061457B">
            <w:pPr>
              <w:jc w:val="center"/>
              <w:rPr>
                <w:rFonts w:ascii="微软雅黑" w:eastAsia="微软雅黑" w:hAnsi="微软雅黑" w:cs="微软雅黑"/>
                <w:sz w:val="24"/>
                <w:lang/>
              </w:rPr>
            </w:pPr>
          </w:p>
        </w:tc>
      </w:tr>
    </w:tbl>
    <w:p w:rsidR="0061457B" w:rsidRDefault="00A55B13">
      <w:pPr>
        <w:pStyle w:val="3"/>
        <w:rPr>
          <w:rFonts w:ascii="微软雅黑" w:hAnsi="微软雅黑"/>
          <w:lang/>
        </w:rPr>
      </w:pPr>
      <w:r>
        <w:rPr>
          <w:rFonts w:ascii="微软雅黑" w:hAnsi="微软雅黑" w:hint="eastAsia"/>
          <w:lang/>
        </w:rPr>
        <w:t>硬件设备参数要求</w:t>
      </w:r>
    </w:p>
    <w:p w:rsidR="0061457B" w:rsidRDefault="00A55B13">
      <w:pPr>
        <w:jc w:val="left"/>
        <w:rPr>
          <w:rFonts w:ascii="微软雅黑" w:eastAsia="微软雅黑" w:hAnsi="微软雅黑" w:cs="微软雅黑"/>
          <w:b/>
          <w:bCs/>
          <w:sz w:val="24"/>
          <w:lang/>
        </w:rPr>
      </w:pPr>
      <w:r>
        <w:rPr>
          <w:rFonts w:ascii="微软雅黑" w:eastAsia="微软雅黑" w:hAnsi="微软雅黑" w:cs="微软雅黑" w:hint="eastAsia"/>
          <w:b/>
          <w:bCs/>
          <w:sz w:val="24"/>
          <w:lang/>
        </w:rPr>
        <w:t>通行管理及陪护办理智能终端参数要求</w:t>
      </w:r>
    </w:p>
    <w:tbl>
      <w:tblPr>
        <w:tblW w:w="85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7008"/>
      </w:tblGrid>
      <w:tr w:rsidR="0061457B">
        <w:trPr>
          <w:trHeight w:val="624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ind w:firstLine="480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模块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ind w:firstLine="480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产品规格</w:t>
            </w:r>
          </w:p>
        </w:tc>
      </w:tr>
      <w:tr w:rsidR="0061457B">
        <w:trPr>
          <w:trHeight w:val="392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显示器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尺寸：8寸竖屏</w:t>
            </w:r>
            <w:r>
              <w:rPr>
                <w:rFonts w:ascii="微软雅黑" w:eastAsia="微软雅黑" w:hAnsi="微软雅黑" w:cs="微软雅黑" w:hint="eastAsia"/>
                <w:sz w:val="24"/>
              </w:rPr>
              <w:br/>
              <w:t>分辨率：800*1280</w:t>
            </w:r>
            <w:r>
              <w:rPr>
                <w:rFonts w:ascii="微软雅黑" w:eastAsia="微软雅黑" w:hAnsi="微软雅黑" w:cs="微软雅黑" w:hint="eastAsia"/>
                <w:sz w:val="24"/>
              </w:rPr>
              <w:br/>
              <w:t>支持：电容式触控屏</w:t>
            </w:r>
          </w:p>
        </w:tc>
      </w:tr>
      <w:tr w:rsidR="0061457B">
        <w:trPr>
          <w:trHeight w:val="405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处理器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6核RK3399</w:t>
            </w:r>
          </w:p>
        </w:tc>
      </w:tr>
      <w:tr w:rsidR="0061457B">
        <w:trPr>
          <w:trHeight w:val="545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存储器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4GB+16GB</w:t>
            </w:r>
          </w:p>
        </w:tc>
      </w:tr>
      <w:tr w:rsidR="0061457B">
        <w:trPr>
          <w:trHeight w:val="390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操作系统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Android 7.1</w:t>
            </w:r>
          </w:p>
        </w:tc>
      </w:tr>
      <w:tr w:rsidR="0061457B">
        <w:trPr>
          <w:trHeight w:val="390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网络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Wifi,网口</w:t>
            </w:r>
          </w:p>
        </w:tc>
      </w:tr>
      <w:tr w:rsidR="0061457B">
        <w:trPr>
          <w:trHeight w:val="390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摄像头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双目摄像头</w:t>
            </w:r>
          </w:p>
        </w:tc>
      </w:tr>
      <w:tr w:rsidR="0061457B">
        <w:trPr>
          <w:trHeight w:val="390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3G/4G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4G全网通</w:t>
            </w:r>
          </w:p>
        </w:tc>
      </w:tr>
      <w:tr w:rsidR="0061457B">
        <w:trPr>
          <w:trHeight w:val="390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蓝牙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蓝牙版本4.2</w:t>
            </w:r>
          </w:p>
        </w:tc>
      </w:tr>
      <w:tr w:rsidR="0061457B">
        <w:trPr>
          <w:trHeight w:val="390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身份证读卡器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支持二代身份证读取</w:t>
            </w:r>
          </w:p>
        </w:tc>
      </w:tr>
      <w:tr w:rsidR="0061457B">
        <w:trPr>
          <w:trHeight w:val="390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扫描器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支持一维码、二维码扫码</w:t>
            </w:r>
          </w:p>
        </w:tc>
      </w:tr>
      <w:tr w:rsidR="0061457B">
        <w:trPr>
          <w:trHeight w:val="390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lastRenderedPageBreak/>
              <w:t>非接读写器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非接触卡读取（NFC ISO 14443A/ 14443B)</w:t>
            </w:r>
          </w:p>
        </w:tc>
      </w:tr>
      <w:tr w:rsidR="0061457B">
        <w:trPr>
          <w:trHeight w:val="390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支架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壁挂支架，闸机支架，立柱支架，桌面支架</w:t>
            </w:r>
          </w:p>
        </w:tc>
      </w:tr>
      <w:tr w:rsidR="0061457B">
        <w:trPr>
          <w:trHeight w:val="390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电源适配器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12V2A</w:t>
            </w:r>
          </w:p>
        </w:tc>
      </w:tr>
      <w:tr w:rsidR="0061457B">
        <w:trPr>
          <w:trHeight w:val="390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测温距离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0.5-1.2米</w:t>
            </w:r>
          </w:p>
        </w:tc>
      </w:tr>
      <w:tr w:rsidR="0061457B">
        <w:trPr>
          <w:trHeight w:val="390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测温误差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±0.3℃</w:t>
            </w:r>
          </w:p>
        </w:tc>
      </w:tr>
      <w:tr w:rsidR="0061457B">
        <w:trPr>
          <w:trHeight w:val="390"/>
        </w:trPr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应用环境</w:t>
            </w:r>
          </w:p>
        </w:tc>
        <w:tc>
          <w:tcPr>
            <w:tcW w:w="7008" w:type="dxa"/>
            <w:vAlign w:val="center"/>
          </w:tcPr>
          <w:p w:rsidR="0061457B" w:rsidRDefault="00A55B1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建议在15℃~29℃环境使用</w:t>
            </w:r>
          </w:p>
        </w:tc>
      </w:tr>
    </w:tbl>
    <w:p w:rsidR="0061457B" w:rsidRDefault="00A55B13">
      <w:pPr>
        <w:widowControl/>
        <w:autoSpaceDE w:val="0"/>
        <w:autoSpaceDN w:val="0"/>
        <w:spacing w:line="360" w:lineRule="auto"/>
        <w:textAlignment w:val="bottom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lang/>
        </w:rPr>
        <w:t>闸机参数要求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外壳材料箱体厚度SUS3041.2mm，双向刷卡上盖1.2mm/人脸上盖1.5mm；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驱动电机直流有刷电机；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电机使用寿命300万次；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摆臂材料不锈钢；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通道宽600-1200；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红外对射6路（上4，下2）；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通行速度20人~40人/min；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开闸时间1.3-2.3s，可调节；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开门模式刷卡，人脸；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报警输入1路消防警报脉冲信号；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报警输出1路12v电压信号；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输入接口I/O继电器输入或232串口通讯；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RS-232接口1个；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报警联动；非法闯入报警；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门超时报警；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功耗双机芯：≤140W（待机），≤240W（工作）；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工作温度-10℃~+60℃；</w:t>
      </w:r>
    </w:p>
    <w:p w:rsidR="0061457B" w:rsidRDefault="00A55B13">
      <w:pPr>
        <w:pStyle w:val="10"/>
        <w:numPr>
          <w:ilvl w:val="0"/>
          <w:numId w:val="3"/>
        </w:numPr>
        <w:rPr>
          <w:rFonts w:ascii="微软雅黑" w:hAnsi="微软雅黑"/>
        </w:rPr>
      </w:pPr>
      <w:r>
        <w:rPr>
          <w:rFonts w:ascii="微软雅黑" w:eastAsia="微软雅黑" w:hAnsi="微软雅黑" w:cs="微软雅黑" w:hint="eastAsia"/>
          <w:sz w:val="24"/>
        </w:rPr>
        <w:t>使用环境室内/室外。</w:t>
      </w:r>
    </w:p>
    <w:p w:rsidR="0061457B" w:rsidRDefault="00A55B13">
      <w:pPr>
        <w:pStyle w:val="2"/>
      </w:pPr>
      <w:r>
        <w:rPr>
          <w:rFonts w:hint="eastAsia"/>
        </w:rPr>
        <w:t>硬件设备安装点位需求</w:t>
      </w:r>
    </w:p>
    <w:tbl>
      <w:tblPr>
        <w:tblW w:w="8565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679"/>
        <w:gridCol w:w="869"/>
        <w:gridCol w:w="1852"/>
        <w:gridCol w:w="1683"/>
        <w:gridCol w:w="3482"/>
      </w:tblGrid>
      <w:tr w:rsidR="0061457B" w:rsidTr="0026095A">
        <w:trPr>
          <w:trHeight w:val="2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</w:rPr>
              <w:t>位置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</w:rPr>
              <w:t>闸机通道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</w:rPr>
              <w:t>智能终端数量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61457B" w:rsidTr="0026095A">
        <w:trPr>
          <w:trHeight w:val="2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61457B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滨江院区住院楼一楼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三通道</w:t>
            </w:r>
          </w:p>
          <w:p w:rsidR="0061457B" w:rsidRDefault="00A55B13">
            <w:pPr>
              <w:pStyle w:val="a4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（含单机芯道闸2台，双机芯道闸2台）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台（用于通行管控）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使用闸机设备EL-S801，包含人行进口通道</w:t>
            </w:r>
            <w:r>
              <w:rPr>
                <w:rFonts w:ascii="微软雅黑" w:eastAsia="微软雅黑" w:hAnsi="微软雅黑"/>
                <w:color w:val="000000"/>
                <w:sz w:val="24"/>
              </w:rPr>
              <w:t>1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个（0</w:t>
            </w:r>
            <w:r>
              <w:rPr>
                <w:rFonts w:ascii="微软雅黑" w:eastAsia="微软雅黑" w:hAnsi="微软雅黑"/>
                <w:color w:val="000000"/>
                <w:sz w:val="24"/>
              </w:rPr>
              <w:t>.8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米宽）、人行出口通道</w:t>
            </w:r>
            <w:r>
              <w:rPr>
                <w:rFonts w:ascii="微软雅黑" w:eastAsia="微软雅黑" w:hAnsi="微软雅黑"/>
                <w:color w:val="000000"/>
                <w:sz w:val="24"/>
              </w:rPr>
              <w:t>1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个（0</w:t>
            </w:r>
            <w:r>
              <w:rPr>
                <w:rFonts w:ascii="微软雅黑" w:eastAsia="微软雅黑" w:hAnsi="微软雅黑"/>
                <w:color w:val="000000"/>
                <w:sz w:val="24"/>
              </w:rPr>
              <w:t>.8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米宽）、病床同进同出通道1个（1</w:t>
            </w:r>
            <w:r>
              <w:rPr>
                <w:rFonts w:ascii="微软雅黑" w:eastAsia="微软雅黑" w:hAnsi="微软雅黑"/>
                <w:color w:val="000000"/>
                <w:sz w:val="24"/>
              </w:rPr>
              <w:t>.5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米宽），两个进口通道分别通过智能终端与闸机的结合，实现自助通行。</w:t>
            </w:r>
          </w:p>
        </w:tc>
      </w:tr>
      <w:tr w:rsidR="0061457B" w:rsidTr="0026095A">
        <w:trPr>
          <w:trHeight w:val="2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61457B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滨江院区住院楼二楼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单通道</w:t>
            </w:r>
          </w:p>
          <w:p w:rsidR="0061457B" w:rsidRDefault="00A55B13">
            <w:pPr>
              <w:pStyle w:val="a4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（含单机芯道闸2台）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</w:rPr>
              <w:t>1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台（用于通行管控）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使用闸机设备EL-S801，包含病床同进同出通道1个（1</w:t>
            </w:r>
            <w:r>
              <w:rPr>
                <w:rFonts w:ascii="微软雅黑" w:eastAsia="微软雅黑" w:hAnsi="微软雅黑"/>
                <w:color w:val="000000"/>
                <w:sz w:val="24"/>
              </w:rPr>
              <w:t>.5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米宽），进口通道通过智能终端与闸机的结合，实现自助通行。</w:t>
            </w:r>
          </w:p>
        </w:tc>
      </w:tr>
      <w:tr w:rsidR="0061457B" w:rsidTr="0026095A">
        <w:trPr>
          <w:trHeight w:val="2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61457B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滨江院区住院楼三楼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单通道</w:t>
            </w:r>
          </w:p>
          <w:p w:rsidR="0061457B" w:rsidRDefault="00A55B13">
            <w:pPr>
              <w:pStyle w:val="a4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（含单机芯道闸2台）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</w:rPr>
              <w:t>1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台（用于通行管控）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使用闸机设备EL-S801，包含病床同进同出通道1个（1</w:t>
            </w:r>
            <w:r>
              <w:rPr>
                <w:rFonts w:ascii="微软雅黑" w:eastAsia="微软雅黑" w:hAnsi="微软雅黑"/>
                <w:color w:val="000000"/>
                <w:sz w:val="24"/>
              </w:rPr>
              <w:t>.5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米宽），进口通道通过智能终端与闸机的结合，实现自助通行。</w:t>
            </w:r>
          </w:p>
        </w:tc>
      </w:tr>
      <w:tr w:rsidR="0061457B" w:rsidTr="0026095A">
        <w:trPr>
          <w:trHeight w:val="2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61457B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滨江院区入院准备中心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/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bookmarkStart w:id="0" w:name="_GoBack"/>
            <w:r>
              <w:rPr>
                <w:rFonts w:ascii="微软雅黑" w:eastAsia="微软雅黑" w:hAnsi="微软雅黑"/>
                <w:color w:val="000000"/>
                <w:sz w:val="24"/>
              </w:rPr>
              <w:t>1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台（用于陪护申领及人脸信息补录）</w:t>
            </w:r>
            <w:bookmarkEnd w:id="0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用于陪护证申领、职工、患者及陪护等通行人员人脸信息补录</w:t>
            </w:r>
          </w:p>
        </w:tc>
      </w:tr>
      <w:tr w:rsidR="0061457B" w:rsidTr="0026095A">
        <w:trPr>
          <w:trHeight w:val="2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61457B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湖滨院区住院楼一楼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四通道</w:t>
            </w:r>
          </w:p>
          <w:p w:rsidR="0061457B" w:rsidRDefault="00A55B13">
            <w:pPr>
              <w:pStyle w:val="a4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（含单机芯道闸4台，双机芯道闸2台）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3台（用于通行管控）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使用闸机设备EL-S801，包含人行进口通道2个（0.8米宽）、人行出口通道1个（0.8米宽）、病床同进同出通道1个（1</w:t>
            </w:r>
            <w:r>
              <w:rPr>
                <w:rFonts w:ascii="微软雅黑" w:eastAsia="微软雅黑" w:hAnsi="微软雅黑"/>
                <w:color w:val="000000"/>
                <w:sz w:val="24"/>
              </w:rPr>
              <w:t>.5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米宽），三个进口通道分别通过智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lastRenderedPageBreak/>
              <w:t>能终端与闸机的结合，实现自助通行。</w:t>
            </w:r>
          </w:p>
        </w:tc>
      </w:tr>
      <w:tr w:rsidR="0061457B" w:rsidTr="0026095A">
        <w:trPr>
          <w:trHeight w:val="2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61457B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湖滨院区入院准备中心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/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</w:rPr>
              <w:t>1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台（用于陪护申领及人脸信息补录）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7B" w:rsidRDefault="00A55B13">
            <w:pPr>
              <w:pStyle w:val="a4"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用于陪护证申领、职工、患者及陪护等通行人员人脸信息补录。</w:t>
            </w:r>
          </w:p>
        </w:tc>
      </w:tr>
    </w:tbl>
    <w:p w:rsidR="0061457B" w:rsidRDefault="0061457B"/>
    <w:p w:rsidR="0061457B" w:rsidRDefault="00A55B13">
      <w:r>
        <w:rPr>
          <w:rFonts w:hint="eastAsia"/>
        </w:rPr>
        <w:br w:type="page"/>
      </w:r>
    </w:p>
    <w:p w:rsidR="0061457B" w:rsidRDefault="00A55B13">
      <w:pPr>
        <w:pStyle w:val="2"/>
      </w:pPr>
      <w:r>
        <w:rPr>
          <w:rFonts w:hint="eastAsia"/>
        </w:rPr>
        <w:lastRenderedPageBreak/>
        <w:t>院内配合事项</w:t>
      </w:r>
    </w:p>
    <w:p w:rsidR="0061457B" w:rsidRDefault="00A55B13">
      <w:pPr>
        <w:widowControl/>
        <w:ind w:firstLineChars="200" w:firstLine="480"/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1、前置机准备</w:t>
      </w:r>
    </w:p>
    <w:p w:rsidR="0061457B" w:rsidRDefault="00A55B13">
      <w:pPr>
        <w:widowControl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院方需提供一台前置机</w:t>
      </w:r>
      <w:r>
        <w:rPr>
          <w:rFonts w:ascii="微软雅黑" w:eastAsia="微软雅黑" w:hAnsi="微软雅黑" w:cs="微软雅黑"/>
          <w:color w:val="000000"/>
          <w:kern w:val="0"/>
          <w:sz w:val="24"/>
          <w:lang/>
        </w:rPr>
        <w:t>部署智能疫情防控系统院端服务，用于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/>
        </w:rPr>
        <w:t>链接医院内网通过卫生专网查询通行人员健康码状态，并通过内网获取</w:t>
      </w:r>
      <w:r>
        <w:rPr>
          <w:rFonts w:ascii="Calibri" w:hAnsi="Calibri" w:cs="Calibri"/>
          <w:color w:val="000000"/>
          <w:kern w:val="0"/>
          <w:sz w:val="24"/>
          <w:lang/>
        </w:rPr>
        <w:t xml:space="preserve">HIS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/>
        </w:rPr>
        <w:t>系统内住院患者信息及核酸检测信息。</w:t>
      </w:r>
      <w:r>
        <w:rPr>
          <w:rFonts w:ascii="微软雅黑" w:eastAsia="微软雅黑" w:hAnsi="微软雅黑" w:cs="微软雅黑" w:hint="eastAsia"/>
          <w:sz w:val="24"/>
        </w:rPr>
        <w:t>（配置要求：windows7系统以上，200G硬盘空间，4G内存以上）;</w:t>
      </w:r>
    </w:p>
    <w:p w:rsidR="0061457B" w:rsidRDefault="00A55B13">
      <w:pPr>
        <w:pStyle w:val="20"/>
        <w:spacing w:line="360" w:lineRule="auto"/>
        <w:ind w:leftChars="0" w:left="0" w:firstLineChars="200" w:firstLine="480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2、信息科需准备的接口</w:t>
      </w:r>
    </w:p>
    <w:p w:rsidR="0061457B" w:rsidRDefault="00A55B13">
      <w:pPr>
        <w:widowControl/>
        <w:numPr>
          <w:ilvl w:val="0"/>
          <w:numId w:val="5"/>
        </w:numPr>
        <w:ind w:firstLine="480"/>
        <w:jc w:val="left"/>
      </w:pPr>
      <w:r>
        <w:rPr>
          <w:rFonts w:ascii="微软雅黑" w:eastAsia="微软雅黑" w:hAnsi="微软雅黑" w:cs="微软雅黑"/>
          <w:color w:val="000000"/>
          <w:kern w:val="0"/>
          <w:sz w:val="24"/>
          <w:lang/>
        </w:rPr>
        <w:t>对接省健康码平台接口，获取通行人员健康码状态（疫苗接种标识信息）；</w:t>
      </w:r>
    </w:p>
    <w:p w:rsidR="0061457B" w:rsidRDefault="00A55B13">
      <w:pPr>
        <w:widowControl/>
        <w:numPr>
          <w:ilvl w:val="0"/>
          <w:numId w:val="5"/>
        </w:numPr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/>
        </w:rPr>
        <w:t>对接省健康码平台健康码解码接口，获取通行人员信息；</w:t>
      </w:r>
    </w:p>
    <w:p w:rsidR="0061457B" w:rsidRDefault="00A55B13">
      <w:pPr>
        <w:widowControl/>
        <w:numPr>
          <w:ilvl w:val="0"/>
          <w:numId w:val="5"/>
        </w:numPr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/>
        </w:rPr>
        <w:t>对接医院</w:t>
      </w:r>
      <w:r>
        <w:rPr>
          <w:rFonts w:ascii="Calibri" w:hAnsi="Calibri" w:cs="Calibri"/>
          <w:color w:val="000000"/>
          <w:kern w:val="0"/>
          <w:sz w:val="24"/>
          <w:lang/>
        </w:rPr>
        <w:t xml:space="preserve">HIS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/>
        </w:rPr>
        <w:t>系统住院信息接口，获取患者入院出院及转科信息；</w:t>
      </w:r>
    </w:p>
    <w:p w:rsidR="0061457B" w:rsidRDefault="00A55B13">
      <w:pPr>
        <w:widowControl/>
        <w:numPr>
          <w:ilvl w:val="0"/>
          <w:numId w:val="5"/>
        </w:numPr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/>
        </w:rPr>
        <w:t>对接医院</w:t>
      </w:r>
      <w:r>
        <w:rPr>
          <w:rFonts w:ascii="Calibri" w:hAnsi="Calibri" w:cs="Calibri"/>
          <w:color w:val="000000"/>
          <w:kern w:val="0"/>
          <w:sz w:val="24"/>
          <w:lang/>
        </w:rPr>
        <w:t xml:space="preserve">HIS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/>
        </w:rPr>
        <w:t>系统的检验接口，获取核酸检测结果信息；</w:t>
      </w:r>
    </w:p>
    <w:p w:rsidR="0061457B" w:rsidRDefault="00A55B13">
      <w:pPr>
        <w:widowControl/>
        <w:numPr>
          <w:ilvl w:val="0"/>
          <w:numId w:val="5"/>
        </w:numPr>
        <w:ind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/>
        </w:rPr>
        <w:t>对接院方人事系统（职工清单），同步实现职工的通行管理。</w:t>
      </w:r>
    </w:p>
    <w:p w:rsidR="0061457B" w:rsidRDefault="00A55B13">
      <w:pPr>
        <w:widowControl/>
        <w:ind w:firstLineChars="200" w:firstLine="480"/>
        <w:jc w:val="left"/>
      </w:pPr>
      <w:r>
        <w:rPr>
          <w:rFonts w:ascii="微软雅黑" w:eastAsia="微软雅黑" w:hAnsi="微软雅黑" w:cs="微软雅黑" w:hint="eastAsia"/>
          <w:sz w:val="24"/>
        </w:rPr>
        <w:t>同时，系统及相关数据由信息科负责运维，</w:t>
      </w:r>
      <w:r>
        <w:rPr>
          <w:rFonts w:ascii="微软雅黑" w:eastAsia="微软雅黑" w:hAnsi="微软雅黑" w:cs="微软雅黑"/>
          <w:color w:val="000000"/>
          <w:kern w:val="0"/>
          <w:sz w:val="24"/>
          <w:lang/>
        </w:rPr>
        <w:t>包含智能疫情防控系统管理后台使用、日常故障问题排查及解决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/>
        </w:rPr>
        <w:t>等。</w:t>
      </w:r>
    </w:p>
    <w:p w:rsidR="0061457B" w:rsidRDefault="00A55B13">
      <w:pPr>
        <w:widowControl/>
        <w:numPr>
          <w:ilvl w:val="0"/>
          <w:numId w:val="6"/>
        </w:numPr>
        <w:ind w:firstLine="480"/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总务科需根据施工方案准备强电；</w:t>
      </w:r>
    </w:p>
    <w:p w:rsidR="0061457B" w:rsidRDefault="00A55B13">
      <w:pPr>
        <w:widowControl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包含设备安装所需要的电源布线等。</w:t>
      </w:r>
    </w:p>
    <w:p w:rsidR="0061457B" w:rsidRDefault="00A55B13">
      <w:pPr>
        <w:pStyle w:val="20"/>
        <w:numPr>
          <w:ilvl w:val="0"/>
          <w:numId w:val="6"/>
        </w:numPr>
        <w:spacing w:line="360" w:lineRule="auto"/>
        <w:ind w:leftChars="0" w:firstLine="480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闸机及智能终端的日常运行需保卫科进行维护；</w:t>
      </w:r>
    </w:p>
    <w:p w:rsidR="0061457B" w:rsidRDefault="00A55B13">
      <w:pPr>
        <w:widowControl/>
        <w:ind w:firstLineChars="200" w:firstLine="480"/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/>
          <w:color w:val="000000"/>
          <w:kern w:val="0"/>
          <w:sz w:val="24"/>
          <w:lang/>
        </w:rPr>
        <w:t>包含设备正常通行及问题语音提醒后的处理方法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/>
        </w:rPr>
        <w:t>。</w:t>
      </w:r>
    </w:p>
    <w:p w:rsidR="0061457B" w:rsidRDefault="00A55B13">
      <w:pPr>
        <w:pStyle w:val="20"/>
        <w:numPr>
          <w:ilvl w:val="0"/>
          <w:numId w:val="6"/>
        </w:numPr>
        <w:spacing w:line="360" w:lineRule="auto"/>
        <w:ind w:leftChars="0" w:firstLine="480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电子陪护证的管理与宣教需护理部参与。</w:t>
      </w:r>
    </w:p>
    <w:p w:rsidR="0061457B" w:rsidRDefault="00A55B13">
      <w:pPr>
        <w:widowControl/>
        <w:ind w:firstLineChars="200" w:firstLine="480"/>
        <w:jc w:val="left"/>
      </w:pPr>
      <w:r>
        <w:rPr>
          <w:rFonts w:ascii="微软雅黑" w:eastAsia="微软雅黑" w:hAnsi="微软雅黑" w:cs="微软雅黑"/>
          <w:color w:val="000000"/>
          <w:kern w:val="0"/>
          <w:sz w:val="24"/>
          <w:lang/>
        </w:rPr>
        <w:t>包含日常陪护管理功能使用，含陪护申领、陪护切换、病区内体温</w:t>
      </w:r>
    </w:p>
    <w:p w:rsidR="0061457B" w:rsidRDefault="00A55B13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24"/>
          <w:lang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/>
        </w:rPr>
        <w:t>登记及核酸检测报告审核等。</w:t>
      </w:r>
    </w:p>
    <w:p w:rsidR="0061457B" w:rsidRDefault="00A55B13">
      <w:pPr>
        <w:widowControl/>
        <w:numPr>
          <w:ilvl w:val="0"/>
          <w:numId w:val="6"/>
        </w:numPr>
        <w:ind w:firstLine="480"/>
        <w:jc w:val="left"/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/>
        </w:rPr>
        <w:lastRenderedPageBreak/>
        <w:t>如有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4"/>
          <w:lang/>
        </w:rPr>
        <w:t>对外宣传需要，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/>
        </w:rPr>
        <w:t>宣传科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4"/>
          <w:lang/>
        </w:rPr>
        <w:t>可配合提供宣传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/>
        </w:rPr>
        <w:t>内容。</w:t>
      </w:r>
    </w:p>
    <w:p w:rsidR="0061457B" w:rsidRDefault="00A55B13">
      <w:pPr>
        <w:widowControl/>
        <w:ind w:firstLineChars="200" w:firstLine="480"/>
        <w:jc w:val="left"/>
        <w:rPr>
          <w:rFonts w:ascii="微软雅黑" w:eastAsia="微软雅黑" w:hAnsi="微软雅黑" w:cs="微软雅黑" w:hint="eastAsia"/>
          <w:color w:val="000000"/>
          <w:kern w:val="0"/>
          <w:sz w:val="24"/>
          <w:lang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/>
        </w:rPr>
        <w:t>包含防疫相关物料的宣传内容等事项。</w:t>
      </w:r>
    </w:p>
    <w:p w:rsidR="00736847" w:rsidRDefault="00736847" w:rsidP="00736847">
      <w:pPr>
        <w:pStyle w:val="20"/>
        <w:rPr>
          <w:rFonts w:hint="eastAsia"/>
          <w:lang/>
        </w:rPr>
      </w:pPr>
    </w:p>
    <w:p w:rsidR="00736847" w:rsidRPr="00736847" w:rsidRDefault="00736847" w:rsidP="00736847">
      <w:pPr>
        <w:widowControl/>
        <w:numPr>
          <w:ilvl w:val="0"/>
          <w:numId w:val="6"/>
        </w:numPr>
        <w:ind w:firstLine="480"/>
        <w:jc w:val="left"/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/>
        </w:rPr>
      </w:pPr>
      <w:r w:rsidRPr="00736847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/>
        </w:rPr>
        <w:t>付款方式</w:t>
      </w:r>
    </w:p>
    <w:p w:rsidR="00736847" w:rsidRPr="00736847" w:rsidRDefault="00736847" w:rsidP="00736847">
      <w:pPr>
        <w:widowControl/>
        <w:ind w:left="420"/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  <w:lang/>
        </w:rPr>
      </w:pPr>
      <w:r w:rsidRPr="00736847">
        <w:rPr>
          <w:rFonts w:ascii="微软雅黑" w:eastAsia="微软雅黑" w:hAnsi="微软雅黑" w:cs="微软雅黑" w:hint="eastAsia"/>
          <w:bCs/>
          <w:color w:val="000000"/>
          <w:kern w:val="0"/>
          <w:sz w:val="24"/>
          <w:lang/>
        </w:rPr>
        <w:t>安装完成，院方通过验收并签署验收报告，收到乙方开具正规发票后60日内支付合同价的98%，剩余2%质保期结束后无质量问题支付。</w:t>
      </w:r>
    </w:p>
    <w:p w:rsidR="0061457B" w:rsidRDefault="0061457B">
      <w:pPr>
        <w:pStyle w:val="20"/>
      </w:pPr>
    </w:p>
    <w:sectPr w:rsidR="0061457B" w:rsidSect="00F1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3CF" w:rsidRDefault="00AC53CF" w:rsidP="00736847">
      <w:r>
        <w:separator/>
      </w:r>
    </w:p>
  </w:endnote>
  <w:endnote w:type="continuationSeparator" w:id="1">
    <w:p w:rsidR="00AC53CF" w:rsidRDefault="00AC53CF" w:rsidP="00736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3CF" w:rsidRDefault="00AC53CF" w:rsidP="00736847">
      <w:r>
        <w:separator/>
      </w:r>
    </w:p>
  </w:footnote>
  <w:footnote w:type="continuationSeparator" w:id="1">
    <w:p w:rsidR="00AC53CF" w:rsidRDefault="00AC53CF" w:rsidP="00736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8585D"/>
    <w:multiLevelType w:val="singleLevel"/>
    <w:tmpl w:val="CF08585D"/>
    <w:lvl w:ilvl="0">
      <w:start w:val="1"/>
      <w:numFmt w:val="bullet"/>
      <w:lvlText w:val=""/>
      <w:lvlJc w:val="left"/>
      <w:pPr>
        <w:ind w:left="-60" w:hanging="420"/>
      </w:pPr>
      <w:rPr>
        <w:rFonts w:ascii="Wingdings" w:hAnsi="Wingdings" w:hint="default"/>
      </w:rPr>
    </w:lvl>
  </w:abstractNum>
  <w:abstractNum w:abstractNumId="1">
    <w:nsid w:val="01D5913B"/>
    <w:multiLevelType w:val="singleLevel"/>
    <w:tmpl w:val="01D5913B"/>
    <w:lvl w:ilvl="0">
      <w:start w:val="3"/>
      <w:numFmt w:val="decimal"/>
      <w:suff w:val="nothing"/>
      <w:lvlText w:val="%1、"/>
      <w:lvlJc w:val="left"/>
      <w:pPr>
        <w:ind w:left="-60"/>
      </w:pPr>
    </w:lvl>
  </w:abstractNum>
  <w:abstractNum w:abstractNumId="2">
    <w:nsid w:val="058D16BF"/>
    <w:multiLevelType w:val="multilevel"/>
    <w:tmpl w:val="058D16B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0A6149"/>
    <w:multiLevelType w:val="multilevel"/>
    <w:tmpl w:val="180A6149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ascii="Times New Roman" w:eastAsia="微软雅黑" w:hAnsi="Times New Roman" w:hint="default"/>
        <w:b/>
        <w:i w:val="0"/>
        <w:spacing w:val="-20"/>
        <w:sz w:val="32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ascii="Times New Roman" w:eastAsia="微软雅黑" w:hAnsi="Times New Roman" w:hint="default"/>
        <w:b/>
        <w:i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Times New Roman" w:eastAsia="微软雅黑" w:hAnsi="Times New Roman" w:hint="default"/>
        <w:b/>
        <w:i w:val="0"/>
        <w:sz w:val="28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ascii="Times New Roman" w:eastAsia="微软雅黑" w:hAnsi="Times New Roman" w:hint="default"/>
        <w:b/>
        <w:i w:val="0"/>
        <w:sz w:val="28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ascii="Times New Roman" w:eastAsia="仿宋_GB2312" w:hAnsi="Times New Roman" w:hint="default"/>
        <w:b w:val="0"/>
        <w:i w:val="0"/>
        <w:sz w:val="24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ascii="Times New Roman" w:eastAsia="仿宋_GB2312" w:hAnsi="Times New Roman" w:hint="default"/>
        <w:b/>
        <w:i w:val="0"/>
        <w:sz w:val="24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ascii="Times New Roman" w:eastAsia="仿宋_GB2312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227A638F"/>
    <w:multiLevelType w:val="multilevel"/>
    <w:tmpl w:val="227A638F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614EF9EC"/>
    <w:multiLevelType w:val="singleLevel"/>
    <w:tmpl w:val="614EF9E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7EC172"/>
    <w:rsid w:val="00027BC4"/>
    <w:rsid w:val="00065B8D"/>
    <w:rsid w:val="001A7FB8"/>
    <w:rsid w:val="0021574F"/>
    <w:rsid w:val="0026095A"/>
    <w:rsid w:val="002746A4"/>
    <w:rsid w:val="00280723"/>
    <w:rsid w:val="00284960"/>
    <w:rsid w:val="0028678E"/>
    <w:rsid w:val="00497902"/>
    <w:rsid w:val="0050336A"/>
    <w:rsid w:val="00523ABF"/>
    <w:rsid w:val="005F2F8D"/>
    <w:rsid w:val="0061457B"/>
    <w:rsid w:val="00736847"/>
    <w:rsid w:val="007557DF"/>
    <w:rsid w:val="00854E5B"/>
    <w:rsid w:val="00882D3F"/>
    <w:rsid w:val="008A44CA"/>
    <w:rsid w:val="00924A0C"/>
    <w:rsid w:val="00A55B13"/>
    <w:rsid w:val="00A7767F"/>
    <w:rsid w:val="00AC53CF"/>
    <w:rsid w:val="00AC6CC0"/>
    <w:rsid w:val="00B802A6"/>
    <w:rsid w:val="00B90B5D"/>
    <w:rsid w:val="00CD77A4"/>
    <w:rsid w:val="00D5644D"/>
    <w:rsid w:val="00D80D6D"/>
    <w:rsid w:val="00DA54AF"/>
    <w:rsid w:val="00E95100"/>
    <w:rsid w:val="00F138DD"/>
    <w:rsid w:val="00F94B0C"/>
    <w:rsid w:val="00FF5627"/>
    <w:rsid w:val="039F4788"/>
    <w:rsid w:val="049857AF"/>
    <w:rsid w:val="082D2D9C"/>
    <w:rsid w:val="0C602350"/>
    <w:rsid w:val="0CC80398"/>
    <w:rsid w:val="0CE71577"/>
    <w:rsid w:val="0DB015D3"/>
    <w:rsid w:val="0FF9025F"/>
    <w:rsid w:val="15D22407"/>
    <w:rsid w:val="16396C55"/>
    <w:rsid w:val="188D09E5"/>
    <w:rsid w:val="22FB1732"/>
    <w:rsid w:val="24CB3E6D"/>
    <w:rsid w:val="27173775"/>
    <w:rsid w:val="2777449B"/>
    <w:rsid w:val="29F06BED"/>
    <w:rsid w:val="2CE80CA7"/>
    <w:rsid w:val="2D2F4C0A"/>
    <w:rsid w:val="2FA10562"/>
    <w:rsid w:val="32395105"/>
    <w:rsid w:val="3BC85660"/>
    <w:rsid w:val="3DAF5FCA"/>
    <w:rsid w:val="41C21F3C"/>
    <w:rsid w:val="43701384"/>
    <w:rsid w:val="457D2D7A"/>
    <w:rsid w:val="4781047D"/>
    <w:rsid w:val="494C3FA2"/>
    <w:rsid w:val="49620A82"/>
    <w:rsid w:val="4CD71EB4"/>
    <w:rsid w:val="4F1E7019"/>
    <w:rsid w:val="51CE5D0D"/>
    <w:rsid w:val="53E86513"/>
    <w:rsid w:val="552503C0"/>
    <w:rsid w:val="59D3209A"/>
    <w:rsid w:val="5B7EC172"/>
    <w:rsid w:val="603D3EBB"/>
    <w:rsid w:val="670A4E49"/>
    <w:rsid w:val="684C5490"/>
    <w:rsid w:val="6B330FAF"/>
    <w:rsid w:val="6C595C7C"/>
    <w:rsid w:val="72545A28"/>
    <w:rsid w:val="73057FAF"/>
    <w:rsid w:val="74AD2840"/>
    <w:rsid w:val="7F82338C"/>
    <w:rsid w:val="C6FFE71E"/>
    <w:rsid w:val="263F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semiHidden="1" w:uiPriority="99" w:unhideWhenUsed="1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0"/>
    <w:qFormat/>
    <w:rsid w:val="00F138D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138DD"/>
    <w:pPr>
      <w:keepNext/>
      <w:spacing w:line="360" w:lineRule="auto"/>
      <w:jc w:val="center"/>
      <w:outlineLvl w:val="0"/>
    </w:pPr>
    <w:rPr>
      <w:rFonts w:ascii="Arial" w:eastAsia="华文中宋" w:hAnsi="Arial"/>
      <w:b/>
      <w:color w:val="000000"/>
      <w:sz w:val="32"/>
    </w:rPr>
  </w:style>
  <w:style w:type="paragraph" w:styleId="2">
    <w:name w:val="heading 2"/>
    <w:next w:val="a"/>
    <w:unhideWhenUsed/>
    <w:qFormat/>
    <w:rsid w:val="00F138DD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="微软雅黑" w:hAnsiTheme="majorHAnsi" w:cstheme="majorBidi"/>
      <w:b/>
      <w:bCs/>
      <w:kern w:val="2"/>
      <w:sz w:val="30"/>
      <w:szCs w:val="32"/>
    </w:rPr>
  </w:style>
  <w:style w:type="paragraph" w:styleId="3">
    <w:name w:val="heading 3"/>
    <w:basedOn w:val="4"/>
    <w:next w:val="a"/>
    <w:unhideWhenUsed/>
    <w:qFormat/>
    <w:rsid w:val="00F138DD"/>
    <w:pPr>
      <w:numPr>
        <w:ilvl w:val="2"/>
      </w:numPr>
      <w:outlineLvl w:val="2"/>
    </w:pPr>
  </w:style>
  <w:style w:type="paragraph" w:styleId="4">
    <w:name w:val="heading 4"/>
    <w:next w:val="a"/>
    <w:unhideWhenUsed/>
    <w:qFormat/>
    <w:rsid w:val="00F138DD"/>
    <w:pPr>
      <w:keepNext/>
      <w:keepLines/>
      <w:numPr>
        <w:ilvl w:val="3"/>
        <w:numId w:val="1"/>
      </w:numPr>
      <w:spacing w:before="120" w:after="120" w:line="360" w:lineRule="auto"/>
      <w:outlineLvl w:val="3"/>
    </w:pPr>
    <w:rPr>
      <w:rFonts w:asciiTheme="majorHAnsi" w:eastAsia="微软雅黑" w:hAnsiTheme="majorHAnsi" w:cstheme="majorBidi"/>
      <w:b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unhideWhenUsed/>
    <w:qFormat/>
    <w:rsid w:val="00F138DD"/>
    <w:pPr>
      <w:ind w:firstLine="420"/>
    </w:pPr>
    <w:rPr>
      <w:kern w:val="0"/>
      <w:szCs w:val="20"/>
    </w:rPr>
  </w:style>
  <w:style w:type="paragraph" w:styleId="a3">
    <w:name w:val="Body Text Indent"/>
    <w:basedOn w:val="a"/>
    <w:uiPriority w:val="99"/>
    <w:unhideWhenUsed/>
    <w:qFormat/>
    <w:rsid w:val="00F138DD"/>
    <w:pPr>
      <w:spacing w:after="120"/>
      <w:ind w:leftChars="200" w:left="420"/>
    </w:pPr>
  </w:style>
  <w:style w:type="paragraph" w:styleId="a4">
    <w:name w:val="Plain Text"/>
    <w:basedOn w:val="a"/>
    <w:unhideWhenUsed/>
    <w:qFormat/>
    <w:rsid w:val="00F138DD"/>
    <w:rPr>
      <w:rFonts w:ascii="宋体" w:hAnsi="Courier New"/>
    </w:rPr>
  </w:style>
  <w:style w:type="paragraph" w:styleId="a5">
    <w:name w:val="footer"/>
    <w:basedOn w:val="a"/>
    <w:link w:val="Char"/>
    <w:qFormat/>
    <w:rsid w:val="00F1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F1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AS">
    <w:name w:val="DAS正文"/>
    <w:basedOn w:val="a"/>
    <w:qFormat/>
    <w:rsid w:val="00F138DD"/>
    <w:pPr>
      <w:tabs>
        <w:tab w:val="left" w:pos="1200"/>
      </w:tabs>
      <w:spacing w:line="360" w:lineRule="exact"/>
      <w:ind w:leftChars="-8" w:left="-17" w:right="181" w:firstLineChars="300" w:firstLine="632"/>
    </w:pPr>
    <w:rPr>
      <w:rFonts w:ascii="Verdana" w:hAnsi="Verdana"/>
      <w:b/>
      <w:bCs/>
      <w:szCs w:val="21"/>
    </w:rPr>
  </w:style>
  <w:style w:type="paragraph" w:customStyle="1" w:styleId="10">
    <w:name w:val="列出段落1"/>
    <w:basedOn w:val="a"/>
    <w:uiPriority w:val="34"/>
    <w:qFormat/>
    <w:rsid w:val="00F138DD"/>
    <w:pPr>
      <w:ind w:firstLine="420"/>
    </w:pPr>
  </w:style>
  <w:style w:type="character" w:customStyle="1" w:styleId="Char0">
    <w:name w:val="页眉 Char"/>
    <w:basedOn w:val="a0"/>
    <w:link w:val="a6"/>
    <w:qFormat/>
    <w:rsid w:val="00F138DD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F138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semiHidden="1" w:uiPriority="99" w:unhideWhenUsed="1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eastAsia="华文中宋" w:hAnsi="Arial"/>
      <w:b/>
      <w:color w:val="000000"/>
      <w:sz w:val="32"/>
    </w:rPr>
  </w:style>
  <w:style w:type="paragraph" w:styleId="2">
    <w:name w:val="heading 2"/>
    <w:next w:val="a"/>
    <w:unhideWhenUsed/>
    <w:qFormat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="微软雅黑" w:hAnsiTheme="majorHAnsi" w:cstheme="majorBidi"/>
      <w:b/>
      <w:bCs/>
      <w:kern w:val="2"/>
      <w:sz w:val="30"/>
      <w:szCs w:val="32"/>
    </w:rPr>
  </w:style>
  <w:style w:type="paragraph" w:styleId="3">
    <w:name w:val="heading 3"/>
    <w:basedOn w:val="4"/>
    <w:next w:val="a"/>
    <w:unhideWhenUsed/>
    <w:qFormat/>
    <w:pPr>
      <w:numPr>
        <w:ilvl w:val="2"/>
      </w:numPr>
      <w:outlineLvl w:val="2"/>
    </w:pPr>
  </w:style>
  <w:style w:type="paragraph" w:styleId="4">
    <w:name w:val="heading 4"/>
    <w:next w:val="a"/>
    <w:unhideWhenUsed/>
    <w:qFormat/>
    <w:pPr>
      <w:keepNext/>
      <w:keepLines/>
      <w:numPr>
        <w:ilvl w:val="3"/>
        <w:numId w:val="1"/>
      </w:numPr>
      <w:spacing w:before="120" w:after="120" w:line="360" w:lineRule="auto"/>
      <w:outlineLvl w:val="3"/>
    </w:pPr>
    <w:rPr>
      <w:rFonts w:asciiTheme="majorHAnsi" w:eastAsia="微软雅黑" w:hAnsiTheme="majorHAnsi" w:cstheme="majorBidi"/>
      <w:b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unhideWhenUsed/>
    <w:qFormat/>
    <w:pPr>
      <w:ind w:firstLine="420"/>
    </w:pPr>
    <w:rPr>
      <w:kern w:val="0"/>
      <w:szCs w:val="20"/>
    </w:r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AS">
    <w:name w:val="DAS正文"/>
    <w:basedOn w:val="a"/>
    <w:qFormat/>
    <w:pPr>
      <w:tabs>
        <w:tab w:val="left" w:pos="1200"/>
      </w:tabs>
      <w:spacing w:line="360" w:lineRule="exact"/>
      <w:ind w:leftChars="-8" w:left="-17" w:right="181" w:firstLineChars="300" w:firstLine="632"/>
    </w:pPr>
    <w:rPr>
      <w:rFonts w:ascii="Verdana" w:hAnsi="Verdana"/>
      <w:b/>
      <w:bCs/>
      <w:szCs w:val="21"/>
    </w:rPr>
  </w:style>
  <w:style w:type="paragraph" w:customStyle="1" w:styleId="10">
    <w:name w:val="列出段落1"/>
    <w:basedOn w:val="a"/>
    <w:uiPriority w:val="34"/>
    <w:qFormat/>
    <w:pPr>
      <w:ind w:firstLine="420"/>
    </w:p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xiaoxiannv</dc:creator>
  <cp:lastModifiedBy>顾宇阳</cp:lastModifiedBy>
  <cp:revision>47</cp:revision>
  <dcterms:created xsi:type="dcterms:W3CDTF">2021-09-26T01:54:00Z</dcterms:created>
  <dcterms:modified xsi:type="dcterms:W3CDTF">2022-01-21T00:50:00Z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12000644D143461FB427E5286CBEB412</vt:lpwstr>
  </property>
</Properties>
</file>