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4C" w:rsidRDefault="00F31EA5" w:rsidP="00F66B2B">
      <w:pPr>
        <w:jc w:val="center"/>
        <w:rPr>
          <w:rFonts w:ascii="宋体"/>
          <w:b/>
          <w:sz w:val="36"/>
        </w:rPr>
      </w:pPr>
      <w:bookmarkStart w:id="0" w:name="_Toc184465262"/>
      <w:bookmarkStart w:id="1" w:name="_Toc325553531"/>
      <w:bookmarkStart w:id="2" w:name="_Toc325547968"/>
      <w:bookmarkStart w:id="3" w:name="_Toc325547723"/>
      <w:bookmarkStart w:id="4" w:name="_Toc325373715"/>
      <w:bookmarkStart w:id="5" w:name="_Toc513767647"/>
      <w:bookmarkStart w:id="6" w:name="_GoBack"/>
      <w:bookmarkEnd w:id="6"/>
      <w:r>
        <w:rPr>
          <w:rFonts w:ascii="宋体" w:hint="eastAsia"/>
          <w:b/>
          <w:sz w:val="36"/>
        </w:rPr>
        <w:t>绩效管理咨询服务及绩效管理软件系统项目</w:t>
      </w:r>
    </w:p>
    <w:p w:rsidR="00914B3F" w:rsidRDefault="00F31EA5">
      <w:pPr>
        <w:jc w:val="center"/>
        <w:rPr>
          <w:rFonts w:ascii="宋体"/>
          <w:b/>
          <w:sz w:val="36"/>
        </w:rPr>
      </w:pPr>
      <w:r>
        <w:rPr>
          <w:rFonts w:ascii="宋体" w:hint="eastAsia"/>
          <w:b/>
          <w:sz w:val="36"/>
        </w:rPr>
        <w:t>采购需求</w:t>
      </w:r>
      <w:bookmarkEnd w:id="0"/>
      <w:bookmarkEnd w:id="1"/>
      <w:bookmarkEnd w:id="2"/>
      <w:bookmarkEnd w:id="3"/>
      <w:bookmarkEnd w:id="4"/>
      <w:bookmarkEnd w:id="5"/>
    </w:p>
    <w:p w:rsidR="00914B3F" w:rsidRDefault="00F31EA5">
      <w:pPr>
        <w:pStyle w:val="1"/>
        <w:spacing w:beforeLines="0" w:before="156" w:afterLines="0" w:after="156"/>
        <w:rPr>
          <w:rFonts w:ascii="宋体"/>
        </w:rPr>
      </w:pPr>
      <w:bookmarkStart w:id="7" w:name="_Toc55724255"/>
      <w:r>
        <w:rPr>
          <w:rFonts w:ascii="宋体" w:hint="eastAsia"/>
        </w:rPr>
        <w:t>一</w:t>
      </w:r>
      <w:r>
        <w:rPr>
          <w:rFonts w:ascii="宋体"/>
        </w:rPr>
        <w:t>、项目背景相关要求</w:t>
      </w:r>
      <w:bookmarkEnd w:id="7"/>
    </w:p>
    <w:p w:rsidR="00914B3F" w:rsidRDefault="00F31EA5">
      <w:pPr>
        <w:ind w:firstLineChars="200" w:firstLine="480"/>
        <w:rPr>
          <w:rFonts w:ascii="宋体"/>
          <w:szCs w:val="24"/>
        </w:rPr>
      </w:pPr>
      <w:r>
        <w:rPr>
          <w:rFonts w:ascii="宋体"/>
          <w:szCs w:val="24"/>
        </w:rPr>
        <w:t>随着</w:t>
      </w:r>
      <w:proofErr w:type="gramStart"/>
      <w:r>
        <w:rPr>
          <w:rFonts w:ascii="宋体"/>
          <w:szCs w:val="24"/>
        </w:rPr>
        <w:t>医改进程</w:t>
      </w:r>
      <w:proofErr w:type="gramEnd"/>
      <w:r>
        <w:rPr>
          <w:rFonts w:ascii="宋体"/>
          <w:szCs w:val="24"/>
        </w:rPr>
        <w:t>深化，</w:t>
      </w:r>
      <w:proofErr w:type="gramStart"/>
      <w:r>
        <w:rPr>
          <w:rFonts w:ascii="宋体"/>
          <w:szCs w:val="24"/>
        </w:rPr>
        <w:t>医</w:t>
      </w:r>
      <w:proofErr w:type="gramEnd"/>
      <w:r>
        <w:rPr>
          <w:rFonts w:ascii="宋体"/>
          <w:szCs w:val="24"/>
        </w:rPr>
        <w:t>保支付政策持续调整，医院内部激励方向也需要转到以劳动价值为核心、统筹效率与公平、确保医院发展需要上来。国家</w:t>
      </w:r>
      <w:proofErr w:type="gramStart"/>
      <w:r>
        <w:rPr>
          <w:rFonts w:ascii="宋体"/>
          <w:szCs w:val="24"/>
        </w:rPr>
        <w:t>卫健委</w:t>
      </w:r>
      <w:r>
        <w:rPr>
          <w:rFonts w:ascii="宋体"/>
          <w:szCs w:val="24"/>
        </w:rPr>
        <w:t>“</w:t>
      </w:r>
      <w:r>
        <w:rPr>
          <w:rFonts w:ascii="宋体"/>
          <w:szCs w:val="24"/>
        </w:rPr>
        <w:t>九不准</w:t>
      </w:r>
      <w:r>
        <w:rPr>
          <w:rFonts w:ascii="宋体"/>
          <w:szCs w:val="24"/>
        </w:rPr>
        <w:t>”</w:t>
      </w:r>
      <w:proofErr w:type="gramEnd"/>
      <w:r>
        <w:rPr>
          <w:rFonts w:ascii="宋体"/>
          <w:szCs w:val="24"/>
        </w:rPr>
        <w:t>要求，加快了医院绩效工资分配改革的进程</w:t>
      </w:r>
      <w:r>
        <w:rPr>
          <w:rFonts w:ascii="宋体" w:hint="eastAsia"/>
          <w:szCs w:val="24"/>
        </w:rPr>
        <w:t>，</w:t>
      </w:r>
      <w:r>
        <w:rPr>
          <w:rFonts w:ascii="宋体"/>
          <w:szCs w:val="24"/>
        </w:rPr>
        <w:t xml:space="preserve">国务院办公厅印发的《关于城市公立医院综合改革试点的指导意见》（国办发〔2015〕38 号文件），国家卫生计生委、人力资源社会保障部、财政部、国家中医药管理局《关于加强公立医疗卫生机构绩效评价的指导意见》（国卫人发〔2015〕94 号）进一步明确和细化绩效评价内容，国办发〔2016〕26 </w:t>
      </w:r>
      <w:proofErr w:type="gramStart"/>
      <w:r>
        <w:rPr>
          <w:rFonts w:ascii="宋体"/>
          <w:szCs w:val="24"/>
        </w:rPr>
        <w:t>号明确</w:t>
      </w:r>
      <w:proofErr w:type="gramEnd"/>
      <w:r>
        <w:rPr>
          <w:rFonts w:ascii="宋体"/>
          <w:szCs w:val="24"/>
        </w:rPr>
        <w:t>要求公立医院要建立以公益性为导向的考核评价机制。在内部薪酬体系上，明确</w:t>
      </w:r>
      <w:r>
        <w:rPr>
          <w:rFonts w:ascii="宋体"/>
          <w:szCs w:val="24"/>
        </w:rPr>
        <w:t>“</w:t>
      </w:r>
      <w:r>
        <w:rPr>
          <w:rFonts w:ascii="宋体"/>
          <w:szCs w:val="24"/>
        </w:rPr>
        <w:t>公立医院通过科学的绩效考核自主进行收入分配，做到多劳多得、优绩优酬</w:t>
      </w:r>
      <w:r>
        <w:rPr>
          <w:rFonts w:ascii="宋体"/>
          <w:szCs w:val="24"/>
        </w:rPr>
        <w:t>”</w:t>
      </w:r>
      <w:r>
        <w:rPr>
          <w:rFonts w:ascii="宋体"/>
          <w:szCs w:val="24"/>
        </w:rPr>
        <w:t>，</w:t>
      </w:r>
      <w:r>
        <w:rPr>
          <w:rFonts w:ascii="宋体"/>
          <w:szCs w:val="24"/>
        </w:rPr>
        <w:t>“</w:t>
      </w:r>
      <w:r>
        <w:rPr>
          <w:rFonts w:ascii="宋体"/>
          <w:szCs w:val="24"/>
        </w:rPr>
        <w:t>严禁给医务人员设定创收指标，医务人员个人薪酬不得与医院的药品、耗材、大型医学检查等业务收入挂钩</w:t>
      </w:r>
      <w:r>
        <w:rPr>
          <w:rFonts w:ascii="宋体"/>
          <w:szCs w:val="24"/>
        </w:rPr>
        <w:t>”</w:t>
      </w:r>
      <w:r>
        <w:rPr>
          <w:rFonts w:ascii="宋体"/>
          <w:szCs w:val="24"/>
        </w:rPr>
        <w:t>。</w:t>
      </w:r>
      <w:proofErr w:type="gramStart"/>
      <w:r>
        <w:rPr>
          <w:rFonts w:ascii="宋体"/>
          <w:szCs w:val="24"/>
        </w:rPr>
        <w:t>人社部</w:t>
      </w:r>
      <w:proofErr w:type="gramEnd"/>
      <w:r>
        <w:rPr>
          <w:rFonts w:ascii="宋体"/>
          <w:szCs w:val="24"/>
        </w:rPr>
        <w:t>发〔2017〕10 号《人力资源社会保障部财政部国家卫生计生委国家中医药管理局关于开展公立医院薪酬制度改革试点工作的指导意见》，国办发〔2017〕号《国务院办公厅关于进一步改革完善药品生产流通使用政策的若干意见》</w:t>
      </w:r>
      <w:r>
        <w:rPr>
          <w:rFonts w:ascii="宋体" w:hint="eastAsia"/>
        </w:rPr>
        <w:t>《关于进一步深化基本医疗保险支付方式改革的指导意见》国办发〔2017〕55号，</w:t>
      </w:r>
      <w:proofErr w:type="gramStart"/>
      <w:r>
        <w:rPr>
          <w:rFonts w:ascii="宋体" w:hint="eastAsia"/>
          <w:szCs w:val="24"/>
        </w:rPr>
        <w:t>人社部函</w:t>
      </w:r>
      <w:proofErr w:type="gramEnd"/>
      <w:r>
        <w:rPr>
          <w:rFonts w:ascii="宋体" w:hint="eastAsia"/>
          <w:szCs w:val="24"/>
        </w:rPr>
        <w:t>2017[124]《社会保险医疗服务项目分类代码》。符合国办发《关于加强三级公立医院绩效考核工作的意见》〔2019〕4号</w:t>
      </w:r>
      <w:r>
        <w:rPr>
          <w:rFonts w:ascii="宋体"/>
          <w:szCs w:val="24"/>
        </w:rPr>
        <w:t>等一系列</w:t>
      </w:r>
      <w:proofErr w:type="gramStart"/>
      <w:r>
        <w:rPr>
          <w:rFonts w:ascii="宋体"/>
          <w:szCs w:val="24"/>
        </w:rPr>
        <w:t>医</w:t>
      </w:r>
      <w:proofErr w:type="gramEnd"/>
      <w:r>
        <w:rPr>
          <w:rFonts w:ascii="宋体"/>
          <w:szCs w:val="24"/>
        </w:rPr>
        <w:t>改新政出台，要求医院建立科学的、精细的绩效评价和分配体系。</w:t>
      </w:r>
    </w:p>
    <w:p w:rsidR="00914B3F" w:rsidRDefault="00F31EA5">
      <w:pPr>
        <w:ind w:firstLineChars="200" w:firstLine="480"/>
        <w:jc w:val="left"/>
        <w:rPr>
          <w:rFonts w:ascii="宋体"/>
          <w:szCs w:val="24"/>
        </w:rPr>
      </w:pPr>
      <w:r>
        <w:rPr>
          <w:rFonts w:ascii="宋体"/>
          <w:szCs w:val="24"/>
        </w:rPr>
        <w:t>因此，拟建立以医院发展目标为导向，以医务人员劳动价值、工作量为评价基础，统筹效率、质量、成本的绩效管理和绩效工资分配体系。</w:t>
      </w:r>
    </w:p>
    <w:p w:rsidR="00914B3F" w:rsidRDefault="00914B3F">
      <w:pPr>
        <w:ind w:firstLineChars="200" w:firstLine="480"/>
        <w:jc w:val="left"/>
        <w:rPr>
          <w:rFonts w:ascii="宋体"/>
          <w:szCs w:val="24"/>
        </w:rPr>
      </w:pPr>
    </w:p>
    <w:p w:rsidR="00914B3F" w:rsidRDefault="00F31EA5">
      <w:pPr>
        <w:pStyle w:val="1"/>
        <w:spacing w:beforeLines="0" w:before="156" w:afterLines="0" w:after="156"/>
        <w:rPr>
          <w:rFonts w:ascii="宋体"/>
        </w:rPr>
      </w:pPr>
      <w:bookmarkStart w:id="8" w:name="_Toc55724256"/>
      <w:r>
        <w:rPr>
          <w:rFonts w:ascii="宋体" w:hint="eastAsia"/>
        </w:rPr>
        <w:t>二、</w:t>
      </w:r>
      <w:r>
        <w:rPr>
          <w:rFonts w:ascii="宋体"/>
        </w:rPr>
        <w:t>招标内容及数量</w:t>
      </w:r>
      <w:bookmarkEnd w:id="8"/>
    </w:p>
    <w:p w:rsidR="00914B3F" w:rsidRDefault="00F31EA5">
      <w:pPr>
        <w:pStyle w:val="2"/>
        <w:rPr>
          <w:rFonts w:ascii="宋体"/>
        </w:rPr>
      </w:pPr>
      <w:bookmarkStart w:id="9" w:name="_Toc55724257"/>
      <w:r>
        <w:rPr>
          <w:rFonts w:ascii="宋体" w:hint="eastAsia"/>
        </w:rPr>
        <w:t>招标内容</w:t>
      </w:r>
      <w:bookmarkEnd w:id="9"/>
      <w:r w:rsidR="00CA0E4A">
        <w:rPr>
          <w:rFonts w:ascii="宋体" w:hint="eastAsia"/>
        </w:rPr>
        <w:t>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1922"/>
      </w:tblGrid>
      <w:tr w:rsidR="00914B3F">
        <w:tc>
          <w:tcPr>
            <w:tcW w:w="846" w:type="dxa"/>
            <w:vAlign w:val="center"/>
          </w:tcPr>
          <w:p w:rsidR="00914B3F" w:rsidRDefault="00F31EA5">
            <w:pPr>
              <w:jc w:val="center"/>
              <w:rPr>
                <w:rFonts w:ascii="宋体"/>
                <w:b/>
                <w:szCs w:val="24"/>
              </w:rPr>
            </w:pPr>
            <w:r>
              <w:rPr>
                <w:rFonts w:ascii="宋体" w:hint="eastAsia"/>
                <w:b/>
                <w:szCs w:val="24"/>
              </w:rPr>
              <w:t>序号</w:t>
            </w:r>
          </w:p>
        </w:tc>
        <w:tc>
          <w:tcPr>
            <w:tcW w:w="5528" w:type="dxa"/>
            <w:vAlign w:val="center"/>
          </w:tcPr>
          <w:p w:rsidR="00914B3F" w:rsidRDefault="00AD264C">
            <w:pPr>
              <w:jc w:val="center"/>
              <w:rPr>
                <w:rFonts w:ascii="宋体"/>
                <w:b/>
                <w:szCs w:val="24"/>
              </w:rPr>
            </w:pPr>
            <w:r w:rsidRPr="00AD264C">
              <w:rPr>
                <w:rFonts w:ascii="宋体" w:hint="eastAsia"/>
                <w:b/>
                <w:szCs w:val="24"/>
              </w:rPr>
              <w:t>绩效管理咨询服务及绩效管理软件系统</w:t>
            </w:r>
          </w:p>
        </w:tc>
        <w:tc>
          <w:tcPr>
            <w:tcW w:w="1922" w:type="dxa"/>
            <w:vAlign w:val="center"/>
          </w:tcPr>
          <w:p w:rsidR="00914B3F" w:rsidRDefault="00F31EA5">
            <w:pPr>
              <w:jc w:val="center"/>
              <w:rPr>
                <w:rFonts w:ascii="宋体"/>
                <w:b/>
                <w:szCs w:val="24"/>
              </w:rPr>
            </w:pPr>
            <w:r>
              <w:rPr>
                <w:rFonts w:ascii="宋体" w:hint="eastAsia"/>
                <w:b/>
                <w:szCs w:val="24"/>
              </w:rPr>
              <w:t>数量（套）</w:t>
            </w:r>
          </w:p>
        </w:tc>
      </w:tr>
      <w:tr w:rsidR="00914B3F">
        <w:tc>
          <w:tcPr>
            <w:tcW w:w="846" w:type="dxa"/>
            <w:vMerge w:val="restart"/>
            <w:vAlign w:val="center"/>
          </w:tcPr>
          <w:p w:rsidR="00914B3F" w:rsidRDefault="00F31EA5">
            <w:pPr>
              <w:jc w:val="center"/>
              <w:rPr>
                <w:rFonts w:ascii="宋体"/>
                <w:szCs w:val="24"/>
              </w:rPr>
            </w:pPr>
            <w:r>
              <w:rPr>
                <w:rFonts w:ascii="宋体" w:hint="eastAsia"/>
                <w:szCs w:val="24"/>
              </w:rPr>
              <w:lastRenderedPageBreak/>
              <w:t>1</w:t>
            </w:r>
          </w:p>
        </w:tc>
        <w:tc>
          <w:tcPr>
            <w:tcW w:w="5528" w:type="dxa"/>
          </w:tcPr>
          <w:p w:rsidR="00914B3F" w:rsidRDefault="00F31EA5">
            <w:pPr>
              <w:jc w:val="left"/>
              <w:rPr>
                <w:rFonts w:ascii="宋体"/>
                <w:szCs w:val="24"/>
              </w:rPr>
            </w:pPr>
            <w:r>
              <w:rPr>
                <w:rFonts w:ascii="宋体" w:hint="eastAsia"/>
                <w:szCs w:val="24"/>
              </w:rPr>
              <w:t>临床医生绩效评价方案设计</w:t>
            </w:r>
          </w:p>
        </w:tc>
        <w:tc>
          <w:tcPr>
            <w:tcW w:w="1922" w:type="dxa"/>
            <w:vAlign w:val="center"/>
          </w:tcPr>
          <w:p w:rsidR="00914B3F" w:rsidRDefault="00F31EA5">
            <w:pPr>
              <w:jc w:val="center"/>
              <w:rPr>
                <w:rFonts w:ascii="宋体"/>
                <w:szCs w:val="24"/>
              </w:rPr>
            </w:pPr>
            <w:r>
              <w:rPr>
                <w:rFonts w:ascii="宋体" w:hint="eastAsia"/>
                <w:szCs w:val="24"/>
              </w:rPr>
              <w:t>1</w:t>
            </w:r>
          </w:p>
        </w:tc>
      </w:tr>
      <w:tr w:rsidR="00914B3F">
        <w:tc>
          <w:tcPr>
            <w:tcW w:w="846" w:type="dxa"/>
            <w:vMerge/>
          </w:tcPr>
          <w:p w:rsidR="00914B3F" w:rsidRDefault="00914B3F"/>
        </w:tc>
        <w:tc>
          <w:tcPr>
            <w:tcW w:w="5528" w:type="dxa"/>
          </w:tcPr>
          <w:p w:rsidR="00914B3F" w:rsidRDefault="00F31EA5">
            <w:pPr>
              <w:jc w:val="left"/>
              <w:rPr>
                <w:rFonts w:ascii="宋体"/>
                <w:szCs w:val="24"/>
              </w:rPr>
            </w:pPr>
            <w:r>
              <w:rPr>
                <w:rFonts w:ascii="宋体" w:hint="eastAsia"/>
                <w:szCs w:val="24"/>
              </w:rPr>
              <w:t>临床护理绩效评价方案设计</w:t>
            </w:r>
          </w:p>
        </w:tc>
        <w:tc>
          <w:tcPr>
            <w:tcW w:w="1922" w:type="dxa"/>
            <w:vAlign w:val="center"/>
          </w:tcPr>
          <w:p w:rsidR="00914B3F" w:rsidRDefault="00F31EA5">
            <w:pPr>
              <w:jc w:val="center"/>
              <w:rPr>
                <w:rFonts w:ascii="宋体"/>
                <w:szCs w:val="24"/>
              </w:rPr>
            </w:pPr>
            <w:r>
              <w:rPr>
                <w:rFonts w:ascii="宋体" w:hint="eastAsia"/>
                <w:szCs w:val="24"/>
              </w:rPr>
              <w:t>1</w:t>
            </w:r>
          </w:p>
        </w:tc>
      </w:tr>
      <w:tr w:rsidR="00914B3F">
        <w:tc>
          <w:tcPr>
            <w:tcW w:w="846" w:type="dxa"/>
            <w:vMerge/>
          </w:tcPr>
          <w:p w:rsidR="00914B3F" w:rsidRDefault="00914B3F"/>
        </w:tc>
        <w:tc>
          <w:tcPr>
            <w:tcW w:w="5528" w:type="dxa"/>
          </w:tcPr>
          <w:p w:rsidR="00914B3F" w:rsidRDefault="00F31EA5">
            <w:pPr>
              <w:jc w:val="left"/>
              <w:rPr>
                <w:rFonts w:ascii="宋体"/>
                <w:szCs w:val="24"/>
              </w:rPr>
            </w:pPr>
            <w:r>
              <w:rPr>
                <w:rFonts w:ascii="宋体" w:hint="eastAsia"/>
                <w:szCs w:val="24"/>
              </w:rPr>
              <w:t>医技科室绩效评价方案设计</w:t>
            </w:r>
          </w:p>
        </w:tc>
        <w:tc>
          <w:tcPr>
            <w:tcW w:w="1922" w:type="dxa"/>
            <w:vAlign w:val="center"/>
          </w:tcPr>
          <w:p w:rsidR="00914B3F" w:rsidRDefault="00F31EA5">
            <w:pPr>
              <w:jc w:val="center"/>
              <w:rPr>
                <w:rFonts w:ascii="宋体"/>
                <w:szCs w:val="24"/>
              </w:rPr>
            </w:pPr>
            <w:r>
              <w:rPr>
                <w:rFonts w:ascii="宋体" w:hint="eastAsia"/>
                <w:szCs w:val="24"/>
              </w:rPr>
              <w:t>1</w:t>
            </w:r>
          </w:p>
        </w:tc>
      </w:tr>
      <w:tr w:rsidR="00914B3F">
        <w:tc>
          <w:tcPr>
            <w:tcW w:w="846" w:type="dxa"/>
          </w:tcPr>
          <w:p w:rsidR="00914B3F" w:rsidRDefault="00F31EA5">
            <w:pPr>
              <w:jc w:val="center"/>
              <w:rPr>
                <w:rFonts w:ascii="宋体"/>
                <w:szCs w:val="24"/>
              </w:rPr>
            </w:pPr>
            <w:r>
              <w:rPr>
                <w:rFonts w:ascii="宋体"/>
                <w:szCs w:val="24"/>
              </w:rPr>
              <w:t>2</w:t>
            </w:r>
          </w:p>
        </w:tc>
        <w:tc>
          <w:tcPr>
            <w:tcW w:w="5528" w:type="dxa"/>
          </w:tcPr>
          <w:p w:rsidR="00914B3F" w:rsidRDefault="00F31EA5">
            <w:pPr>
              <w:jc w:val="left"/>
              <w:rPr>
                <w:rFonts w:ascii="宋体"/>
                <w:szCs w:val="24"/>
              </w:rPr>
            </w:pPr>
            <w:r>
              <w:rPr>
                <w:rFonts w:ascii="宋体" w:hint="eastAsia"/>
                <w:szCs w:val="24"/>
              </w:rPr>
              <w:t>绩效管理软件系统</w:t>
            </w:r>
          </w:p>
        </w:tc>
        <w:tc>
          <w:tcPr>
            <w:tcW w:w="1922" w:type="dxa"/>
            <w:vAlign w:val="center"/>
          </w:tcPr>
          <w:p w:rsidR="00914B3F" w:rsidRDefault="00F31EA5">
            <w:pPr>
              <w:jc w:val="center"/>
              <w:rPr>
                <w:rFonts w:ascii="宋体"/>
                <w:szCs w:val="24"/>
              </w:rPr>
            </w:pPr>
            <w:r>
              <w:rPr>
                <w:rFonts w:ascii="宋体" w:hint="eastAsia"/>
                <w:szCs w:val="24"/>
              </w:rPr>
              <w:t>1</w:t>
            </w:r>
          </w:p>
        </w:tc>
      </w:tr>
    </w:tbl>
    <w:p w:rsidR="00914B3F" w:rsidRDefault="00914B3F">
      <w:pPr>
        <w:rPr>
          <w:rFonts w:ascii="宋体"/>
        </w:rPr>
      </w:pPr>
    </w:p>
    <w:p w:rsidR="00914B3F" w:rsidRDefault="00F31EA5">
      <w:pPr>
        <w:pStyle w:val="1"/>
        <w:spacing w:beforeLines="0" w:before="156" w:afterLines="0" w:after="156"/>
        <w:rPr>
          <w:rFonts w:ascii="宋体"/>
          <w:sz w:val="32"/>
        </w:rPr>
      </w:pPr>
      <w:bookmarkStart w:id="10" w:name="_Toc55724261"/>
      <w:r>
        <w:rPr>
          <w:rFonts w:ascii="宋体" w:hint="eastAsia"/>
          <w:b w:val="0"/>
          <w:bCs w:val="0"/>
        </w:rPr>
        <w:t>三</w:t>
      </w:r>
      <w:r>
        <w:rPr>
          <w:rFonts w:ascii="宋体" w:hint="eastAsia"/>
        </w:rPr>
        <w:t>、</w:t>
      </w:r>
      <w:r>
        <w:rPr>
          <w:rFonts w:ascii="宋体"/>
        </w:rPr>
        <w:t>项目建设要求</w:t>
      </w:r>
      <w:bookmarkEnd w:id="10"/>
    </w:p>
    <w:p w:rsidR="00914B3F" w:rsidRDefault="00F31EA5">
      <w:pPr>
        <w:pStyle w:val="2"/>
        <w:rPr>
          <w:rFonts w:ascii="宋体"/>
        </w:rPr>
      </w:pPr>
      <w:bookmarkStart w:id="11" w:name="_Toc55724262"/>
      <w:r>
        <w:rPr>
          <w:rFonts w:ascii="宋体" w:hint="eastAsia"/>
        </w:rPr>
        <w:t>（一）</w:t>
      </w:r>
      <w:r>
        <w:rPr>
          <w:rFonts w:ascii="宋体"/>
        </w:rPr>
        <w:t>建设原则</w:t>
      </w:r>
      <w:bookmarkEnd w:id="11"/>
    </w:p>
    <w:p w:rsidR="00914B3F" w:rsidRDefault="00F31EA5">
      <w:pPr>
        <w:jc w:val="left"/>
        <w:rPr>
          <w:rFonts w:ascii="宋体"/>
          <w:szCs w:val="24"/>
        </w:rPr>
      </w:pPr>
      <w:r>
        <w:rPr>
          <w:rFonts w:ascii="宋体"/>
          <w:szCs w:val="24"/>
        </w:rPr>
        <w:t>1、咨询方案符合政策规范性原则</w:t>
      </w:r>
    </w:p>
    <w:p w:rsidR="00914B3F" w:rsidRDefault="00F31EA5">
      <w:pPr>
        <w:ind w:firstLineChars="200" w:firstLine="480"/>
        <w:jc w:val="left"/>
        <w:rPr>
          <w:rFonts w:ascii="宋体"/>
          <w:szCs w:val="24"/>
        </w:rPr>
      </w:pPr>
      <w:r>
        <w:rPr>
          <w:rFonts w:ascii="宋体"/>
          <w:szCs w:val="24"/>
        </w:rPr>
        <w:t>所使用的绩效方案应当满足国家</w:t>
      </w:r>
      <w:proofErr w:type="gramStart"/>
      <w:r>
        <w:rPr>
          <w:rFonts w:ascii="宋体"/>
          <w:szCs w:val="24"/>
        </w:rPr>
        <w:t>卫健委的</w:t>
      </w:r>
      <w:proofErr w:type="gramEnd"/>
      <w:r>
        <w:rPr>
          <w:rFonts w:ascii="宋体"/>
          <w:szCs w:val="24"/>
        </w:rPr>
        <w:t>“</w:t>
      </w:r>
      <w:r>
        <w:rPr>
          <w:rFonts w:ascii="宋体"/>
          <w:szCs w:val="24"/>
        </w:rPr>
        <w:t>九不准</w:t>
      </w:r>
      <w:r>
        <w:rPr>
          <w:rFonts w:ascii="宋体"/>
          <w:szCs w:val="24"/>
        </w:rPr>
        <w:t>”</w:t>
      </w:r>
      <w:r>
        <w:rPr>
          <w:rFonts w:ascii="宋体"/>
          <w:szCs w:val="24"/>
        </w:rPr>
        <w:t>要求，医务人员的绩效工资不能与收入挂钩，符合</w:t>
      </w:r>
      <w:proofErr w:type="gramStart"/>
      <w:r>
        <w:rPr>
          <w:rFonts w:ascii="宋体"/>
          <w:szCs w:val="24"/>
        </w:rPr>
        <w:t>医</w:t>
      </w:r>
      <w:proofErr w:type="gramEnd"/>
      <w:r>
        <w:rPr>
          <w:rFonts w:ascii="宋体"/>
          <w:szCs w:val="24"/>
        </w:rPr>
        <w:t>保支付政策要求。</w:t>
      </w:r>
    </w:p>
    <w:p w:rsidR="00914B3F" w:rsidRDefault="00F31EA5">
      <w:pPr>
        <w:jc w:val="left"/>
        <w:rPr>
          <w:rFonts w:ascii="宋体"/>
          <w:szCs w:val="24"/>
        </w:rPr>
      </w:pPr>
      <w:r>
        <w:rPr>
          <w:rFonts w:ascii="宋体"/>
          <w:szCs w:val="24"/>
        </w:rPr>
        <w:t>2、技术方法本地化原则</w:t>
      </w:r>
    </w:p>
    <w:p w:rsidR="00914B3F" w:rsidRDefault="00F31EA5">
      <w:pPr>
        <w:ind w:firstLineChars="200" w:firstLine="480"/>
        <w:jc w:val="left"/>
        <w:rPr>
          <w:rFonts w:ascii="宋体"/>
          <w:szCs w:val="24"/>
        </w:rPr>
      </w:pPr>
      <w:r>
        <w:rPr>
          <w:rFonts w:ascii="宋体"/>
          <w:szCs w:val="24"/>
        </w:rPr>
        <w:t>由于绩效管理高度个性化，投标方应当提供绩效管理咨询，将国际先进的医务人员劳动价值评价方法在本院进行本地化研究，使之适合本院的发展阶段。并能为未来发展建立基础绩效管理架构。需要咨询团队将 RBRVS 本土化，并依据医院的业务特点进行本地化。</w:t>
      </w:r>
    </w:p>
    <w:p w:rsidR="00914B3F" w:rsidRDefault="00F31EA5">
      <w:pPr>
        <w:jc w:val="left"/>
        <w:rPr>
          <w:rFonts w:ascii="宋体"/>
          <w:szCs w:val="24"/>
        </w:rPr>
      </w:pPr>
      <w:r>
        <w:rPr>
          <w:rFonts w:ascii="宋体"/>
          <w:szCs w:val="24"/>
        </w:rPr>
        <w:t>3、先进性原则</w:t>
      </w:r>
    </w:p>
    <w:p w:rsidR="00914B3F" w:rsidRDefault="00F31EA5">
      <w:pPr>
        <w:ind w:firstLineChars="200" w:firstLine="480"/>
        <w:jc w:val="left"/>
        <w:rPr>
          <w:rFonts w:ascii="宋体"/>
          <w:szCs w:val="24"/>
        </w:rPr>
      </w:pPr>
      <w:r>
        <w:rPr>
          <w:rFonts w:ascii="宋体"/>
          <w:szCs w:val="24"/>
        </w:rPr>
        <w:t>绩效管理方案采用国际通行的医务人员劳动价值评价方法，在国内有成功的应用示范用户。配套软件具有先进的技术水平，有较高的性能，符合当今技术发展的方向。遵循业界规范，不依赖于某一个厂家的系统平台和操作系统之上。尽可能的延长系统的有效生命周期，保护用户在信息化方面的投入物有所值，并发挥投资的最大效益</w:t>
      </w:r>
      <w:bookmarkStart w:id="12" w:name="page38"/>
      <w:bookmarkEnd w:id="12"/>
    </w:p>
    <w:p w:rsidR="00914B3F" w:rsidRDefault="00F31EA5">
      <w:pPr>
        <w:jc w:val="left"/>
        <w:rPr>
          <w:rFonts w:ascii="宋体"/>
          <w:szCs w:val="24"/>
        </w:rPr>
      </w:pPr>
      <w:r>
        <w:rPr>
          <w:rFonts w:ascii="宋体"/>
          <w:szCs w:val="24"/>
        </w:rPr>
        <w:t>4、绩效方案实用性原则</w:t>
      </w:r>
    </w:p>
    <w:p w:rsidR="00914B3F" w:rsidRDefault="00F31EA5">
      <w:pPr>
        <w:ind w:firstLineChars="200" w:firstLine="480"/>
        <w:jc w:val="left"/>
        <w:rPr>
          <w:rFonts w:ascii="宋体"/>
          <w:szCs w:val="24"/>
        </w:rPr>
      </w:pPr>
      <w:r>
        <w:rPr>
          <w:rFonts w:ascii="宋体"/>
          <w:szCs w:val="24"/>
        </w:rPr>
        <w:t>绩效整体方案应当与医院发展的阶段、专业特点、科室分工相匹配，依据方案产生的绩效分配结果应当与医院实际情况相符合。</w:t>
      </w:r>
    </w:p>
    <w:p w:rsidR="00914B3F" w:rsidRDefault="00F31EA5">
      <w:pPr>
        <w:jc w:val="left"/>
        <w:rPr>
          <w:rFonts w:ascii="宋体"/>
          <w:szCs w:val="24"/>
        </w:rPr>
      </w:pPr>
      <w:r>
        <w:rPr>
          <w:rFonts w:ascii="宋体"/>
          <w:szCs w:val="24"/>
        </w:rPr>
        <w:t>5、软件平台开放性原则</w:t>
      </w:r>
    </w:p>
    <w:p w:rsidR="00914B3F" w:rsidRDefault="00F31EA5">
      <w:pPr>
        <w:ind w:firstLineChars="200" w:firstLine="480"/>
        <w:jc w:val="left"/>
        <w:rPr>
          <w:rFonts w:ascii="宋体"/>
          <w:szCs w:val="24"/>
        </w:rPr>
      </w:pPr>
      <w:r>
        <w:rPr>
          <w:rFonts w:ascii="宋体"/>
          <w:szCs w:val="24"/>
        </w:rPr>
        <w:t>系统设计和建设需坚持开放性原则。软件开发平台采用先进的网络体系设计结构，兼容不同的软件、硬件平台系统，可以利用现有的设备资源，保护投资。</w:t>
      </w:r>
    </w:p>
    <w:p w:rsidR="00914B3F" w:rsidRDefault="00F31EA5">
      <w:pPr>
        <w:jc w:val="left"/>
        <w:rPr>
          <w:rFonts w:ascii="宋体"/>
          <w:szCs w:val="24"/>
        </w:rPr>
      </w:pPr>
      <w:r>
        <w:rPr>
          <w:rFonts w:ascii="宋体"/>
          <w:szCs w:val="24"/>
        </w:rPr>
        <w:t>6、扩展性原则</w:t>
      </w:r>
    </w:p>
    <w:p w:rsidR="00914B3F" w:rsidRDefault="00F31EA5">
      <w:pPr>
        <w:ind w:firstLineChars="200" w:firstLine="480"/>
        <w:jc w:val="left"/>
        <w:rPr>
          <w:rFonts w:ascii="宋体"/>
          <w:szCs w:val="24"/>
        </w:rPr>
      </w:pPr>
      <w:r>
        <w:rPr>
          <w:rFonts w:ascii="宋体"/>
          <w:szCs w:val="24"/>
        </w:rPr>
        <w:lastRenderedPageBreak/>
        <w:t>系统建设过程中需遵循扩展性原则，系统必须提供标准的开发接口与用户现有或将来扩展的业务系统集成，特别要加强系统设计的前瞻性、预留系统扩充和扩展能力。</w:t>
      </w:r>
    </w:p>
    <w:p w:rsidR="00914B3F" w:rsidRDefault="00F31EA5">
      <w:pPr>
        <w:jc w:val="left"/>
        <w:rPr>
          <w:rFonts w:ascii="宋体"/>
          <w:szCs w:val="24"/>
        </w:rPr>
      </w:pPr>
      <w:r>
        <w:rPr>
          <w:rFonts w:ascii="宋体"/>
          <w:szCs w:val="24"/>
        </w:rPr>
        <w:t>7、安全性原则</w:t>
      </w:r>
    </w:p>
    <w:p w:rsidR="00914B3F" w:rsidRDefault="00F31EA5">
      <w:pPr>
        <w:ind w:firstLineChars="200" w:firstLine="480"/>
        <w:jc w:val="left"/>
        <w:rPr>
          <w:rFonts w:ascii="宋体"/>
          <w:szCs w:val="24"/>
        </w:rPr>
      </w:pPr>
      <w:r>
        <w:rPr>
          <w:rFonts w:ascii="宋体"/>
          <w:szCs w:val="24"/>
        </w:rPr>
        <w:t>本项目涉及内部业务系统建设时应遵循安全性原则，系统必须提供基于利用严密的身份验证、访问控制、多层次的保密手段等措施，确保系统和数据的安全性和完整性。因此，系统必须能够提供有效的安全保密措施，确保整个系统的安全运行。</w:t>
      </w:r>
    </w:p>
    <w:p w:rsidR="00914B3F" w:rsidRDefault="00F31EA5">
      <w:pPr>
        <w:pStyle w:val="2"/>
        <w:rPr>
          <w:rFonts w:ascii="宋体"/>
        </w:rPr>
      </w:pPr>
      <w:bookmarkStart w:id="13" w:name="_Toc27601980"/>
      <w:bookmarkStart w:id="14" w:name="_Toc55724263"/>
      <w:r>
        <w:rPr>
          <w:rFonts w:ascii="宋体" w:hint="eastAsia"/>
        </w:rPr>
        <w:t>（二）医院</w:t>
      </w:r>
      <w:r>
        <w:rPr>
          <w:rFonts w:ascii="宋体"/>
        </w:rPr>
        <w:t>绩效咨询服务</w:t>
      </w:r>
      <w:r>
        <w:rPr>
          <w:rFonts w:ascii="宋体" w:hint="eastAsia"/>
        </w:rPr>
        <w:t>具体要求</w:t>
      </w:r>
      <w:bookmarkEnd w:id="13"/>
      <w:bookmarkEnd w:id="14"/>
    </w:p>
    <w:p w:rsidR="00914B3F" w:rsidRDefault="00F31EA5">
      <w:pPr>
        <w:pStyle w:val="3"/>
        <w:spacing w:beforeLines="0" w:before="156" w:afterLines="0" w:after="156"/>
        <w:rPr>
          <w:rFonts w:ascii="宋体"/>
        </w:rPr>
      </w:pPr>
      <w:bookmarkStart w:id="15" w:name="_Toc27601981"/>
      <w:bookmarkStart w:id="16" w:name="_Toc55724264"/>
      <w:r>
        <w:rPr>
          <w:rFonts w:ascii="宋体" w:hint="eastAsia"/>
        </w:rPr>
        <w:t>1、整体要求</w:t>
      </w:r>
      <w:bookmarkEnd w:id="15"/>
      <w:bookmarkEnd w:id="16"/>
    </w:p>
    <w:p w:rsidR="00914B3F" w:rsidRDefault="00F31EA5">
      <w:pPr>
        <w:ind w:firstLineChars="200" w:firstLine="480"/>
        <w:rPr>
          <w:rFonts w:ascii="宋体"/>
          <w:color w:val="000000"/>
        </w:rPr>
      </w:pPr>
      <w:r>
        <w:rPr>
          <w:rFonts w:ascii="宋体"/>
          <w:color w:val="000000"/>
        </w:rPr>
        <w:t>本项目建设要求基于医院现有</w:t>
      </w:r>
      <w:r>
        <w:rPr>
          <w:rFonts w:ascii="宋体" w:hint="eastAsia"/>
          <w:color w:val="000000"/>
        </w:rPr>
        <w:t>信息化系统，</w:t>
      </w:r>
      <w:r>
        <w:rPr>
          <w:rFonts w:ascii="宋体"/>
          <w:color w:val="000000"/>
        </w:rPr>
        <w:t>咨询服务需要使用国际通行的RBRVS</w:t>
      </w:r>
      <w:r>
        <w:rPr>
          <w:rFonts w:ascii="宋体" w:hint="eastAsia"/>
          <w:color w:val="000000"/>
        </w:rPr>
        <w:t>（基于资源消耗为基础的价值尺度）</w:t>
      </w:r>
      <w:r>
        <w:rPr>
          <w:rFonts w:ascii="宋体"/>
          <w:color w:val="000000"/>
        </w:rPr>
        <w:t>量化标准</w:t>
      </w:r>
      <w:r>
        <w:rPr>
          <w:rFonts w:ascii="宋体" w:hint="eastAsia"/>
          <w:color w:val="000000"/>
        </w:rPr>
        <w:t>，提供</w:t>
      </w:r>
      <w:r>
        <w:rPr>
          <w:rFonts w:ascii="宋体"/>
          <w:color w:val="000000"/>
        </w:rPr>
        <w:t>基于 CPT-RBRVS的医生、护理、医技、药学人员定量考核方案。投标时可以提供基础方案，在实施时需要提供分类细化方案</w:t>
      </w:r>
      <w:r>
        <w:rPr>
          <w:rFonts w:ascii="宋体" w:hint="eastAsia"/>
          <w:color w:val="000000"/>
        </w:rPr>
        <w:t>，</w:t>
      </w:r>
      <w:r>
        <w:rPr>
          <w:rFonts w:ascii="宋体"/>
          <w:color w:val="000000"/>
        </w:rPr>
        <w:t>并满足</w:t>
      </w:r>
      <w:r>
        <w:rPr>
          <w:rFonts w:ascii="宋体" w:hint="eastAsia"/>
          <w:color w:val="000000"/>
        </w:rPr>
        <w:t>我院当前实施的</w:t>
      </w:r>
      <w:r>
        <w:rPr>
          <w:rFonts w:ascii="宋体"/>
          <w:color w:val="000000"/>
        </w:rPr>
        <w:t>收费代码与 对照关系。</w:t>
      </w:r>
    </w:p>
    <w:p w:rsidR="00914B3F" w:rsidRDefault="00F31EA5">
      <w:pPr>
        <w:ind w:firstLineChars="200" w:firstLine="480"/>
        <w:rPr>
          <w:rFonts w:ascii="宋体"/>
          <w:color w:val="000000"/>
        </w:rPr>
      </w:pPr>
      <w:r>
        <w:rPr>
          <w:rFonts w:ascii="宋体" w:hint="eastAsia"/>
          <w:color w:val="000000"/>
        </w:rPr>
        <w:t>建立以工作量评价为基础，以RBRVS、DRG为工作量评价工具，以医院战略目标（扩大服务量、提高效率、优化种结构和收入结构）为导向，统筹效率、质量、成本、科研教学的绩效评价和分配体系，</w:t>
      </w:r>
      <w:r>
        <w:rPr>
          <w:rFonts w:ascii="宋体"/>
          <w:color w:val="000000"/>
        </w:rPr>
        <w:t>兼顾关键业绩指标</w:t>
      </w:r>
      <w:r>
        <w:rPr>
          <w:rFonts w:ascii="宋体" w:hint="eastAsia"/>
          <w:color w:val="000000"/>
        </w:rPr>
        <w:t>和直接成本管控体系，实现绩效分配的公平性，</w:t>
      </w:r>
      <w:r>
        <w:rPr>
          <w:rFonts w:ascii="宋体"/>
          <w:color w:val="000000"/>
        </w:rPr>
        <w:t>符合卫</w:t>
      </w:r>
      <w:proofErr w:type="gramStart"/>
      <w:r>
        <w:rPr>
          <w:rFonts w:ascii="宋体"/>
          <w:color w:val="000000"/>
        </w:rPr>
        <w:t>健委九</w:t>
      </w:r>
      <w:proofErr w:type="gramEnd"/>
      <w:r>
        <w:rPr>
          <w:rFonts w:ascii="宋体"/>
          <w:color w:val="000000"/>
        </w:rPr>
        <w:t>不准的要求，体现多劳多得，优绩优酬</w:t>
      </w:r>
      <w:r>
        <w:rPr>
          <w:rFonts w:ascii="宋体" w:hint="eastAsia"/>
          <w:color w:val="000000"/>
        </w:rPr>
        <w:t>，保证医院的公益性要求。</w:t>
      </w:r>
    </w:p>
    <w:p w:rsidR="00914B3F" w:rsidRDefault="00F31EA5">
      <w:pPr>
        <w:pStyle w:val="3"/>
        <w:spacing w:beforeLines="0" w:before="156" w:afterLines="0" w:after="156"/>
        <w:rPr>
          <w:rFonts w:ascii="宋体"/>
        </w:rPr>
      </w:pPr>
      <w:bookmarkStart w:id="17" w:name="_Toc27601982"/>
      <w:bookmarkStart w:id="18" w:name="_Toc55724265"/>
      <w:r>
        <w:rPr>
          <w:rFonts w:ascii="宋体" w:hint="eastAsia"/>
        </w:rPr>
        <w:t>2</w:t>
      </w:r>
      <w:r>
        <w:rPr>
          <w:rFonts w:ascii="宋体"/>
        </w:rPr>
        <w:t>、</w:t>
      </w:r>
      <w:r>
        <w:rPr>
          <w:rFonts w:ascii="宋体" w:hint="eastAsia"/>
        </w:rPr>
        <w:t>临床科室及医技科室绩效评价方案设计要求</w:t>
      </w:r>
      <w:bookmarkEnd w:id="17"/>
      <w:bookmarkEnd w:id="18"/>
    </w:p>
    <w:p w:rsidR="00914B3F" w:rsidRDefault="00F31EA5">
      <w:pPr>
        <w:ind w:firstLineChars="200" w:firstLine="480"/>
        <w:rPr>
          <w:rFonts w:ascii="宋体"/>
          <w:color w:val="000000"/>
        </w:rPr>
      </w:pPr>
      <w:r>
        <w:rPr>
          <w:rFonts w:ascii="宋体" w:cs="仿宋_GB2312" w:hint="eastAsia"/>
          <w:szCs w:val="24"/>
        </w:rPr>
        <w:t>★</w:t>
      </w:r>
      <w:r>
        <w:rPr>
          <w:rFonts w:ascii="宋体"/>
          <w:color w:val="000000"/>
        </w:rPr>
        <w:t>依据 RBRVS把全院医疗收费项目价格转换为绩效点数，作为衡量医师、护理、医技人员的工作量的基准。</w:t>
      </w:r>
      <w:r>
        <w:rPr>
          <w:rFonts w:ascii="宋体" w:hint="eastAsia"/>
          <w:color w:val="000000"/>
        </w:rPr>
        <w:t>同时</w:t>
      </w:r>
      <w:r>
        <w:rPr>
          <w:rFonts w:ascii="宋体"/>
          <w:color w:val="000000"/>
        </w:rPr>
        <w:t>方案中应当体现服务量因素</w:t>
      </w:r>
      <w:r>
        <w:rPr>
          <w:rFonts w:ascii="宋体" w:hint="eastAsia"/>
          <w:color w:val="000000"/>
        </w:rPr>
        <w:t>，</w:t>
      </w:r>
      <w:r>
        <w:rPr>
          <w:rFonts w:ascii="宋体"/>
          <w:color w:val="000000"/>
        </w:rPr>
        <w:t>把门诊人次、出院人次、</w:t>
      </w:r>
      <w:r>
        <w:rPr>
          <w:rFonts w:ascii="宋体" w:hint="eastAsia"/>
          <w:color w:val="000000"/>
        </w:rPr>
        <w:t>手术人次、</w:t>
      </w:r>
      <w:proofErr w:type="gramStart"/>
      <w:r>
        <w:rPr>
          <w:rFonts w:ascii="宋体"/>
          <w:color w:val="000000"/>
        </w:rPr>
        <w:t>占床日</w:t>
      </w:r>
      <w:r>
        <w:rPr>
          <w:rFonts w:ascii="宋体" w:hint="eastAsia"/>
          <w:color w:val="000000"/>
        </w:rPr>
        <w:t>数</w:t>
      </w:r>
      <w:proofErr w:type="gramEnd"/>
      <w:r>
        <w:rPr>
          <w:rFonts w:ascii="宋体"/>
          <w:color w:val="000000"/>
        </w:rPr>
        <w:t>、</w:t>
      </w:r>
      <w:r>
        <w:rPr>
          <w:rFonts w:ascii="宋体" w:hint="eastAsia"/>
          <w:color w:val="000000"/>
        </w:rPr>
        <w:t>检查化验人次等</w:t>
      </w:r>
      <w:r>
        <w:rPr>
          <w:rFonts w:ascii="宋体"/>
          <w:color w:val="000000"/>
        </w:rPr>
        <w:t>量化为绩效点数</w:t>
      </w:r>
      <w:r>
        <w:rPr>
          <w:rFonts w:ascii="宋体" w:hint="eastAsia"/>
          <w:color w:val="000000"/>
        </w:rPr>
        <w:t>。</w:t>
      </w:r>
      <w:r>
        <w:rPr>
          <w:rFonts w:ascii="宋体"/>
          <w:color w:val="000000"/>
        </w:rPr>
        <w:t>实行临床、医技、护理等可执行 RBRVS 的核算单元分别进行绩效工资核算。</w:t>
      </w:r>
      <w:r>
        <w:rPr>
          <w:rFonts w:ascii="宋体" w:hint="eastAsia"/>
          <w:color w:val="000000"/>
        </w:rPr>
        <w:t>医生绩效工资可按医疗组分配。</w:t>
      </w:r>
      <w:r>
        <w:rPr>
          <w:rFonts w:ascii="宋体"/>
          <w:color w:val="000000"/>
        </w:rPr>
        <w:t>对各护理单元有客观评价方案和方法，确定护理单元的之间的劳动差别</w:t>
      </w:r>
      <w:r>
        <w:rPr>
          <w:rFonts w:ascii="宋体" w:hint="eastAsia"/>
          <w:color w:val="000000"/>
        </w:rPr>
        <w:t>。</w:t>
      </w:r>
      <w:r>
        <w:rPr>
          <w:rFonts w:ascii="宋体"/>
          <w:color w:val="000000"/>
        </w:rPr>
        <w:t>方案中应当设计体现医护分开后仍能保持</w:t>
      </w:r>
      <w:proofErr w:type="gramStart"/>
      <w:r>
        <w:rPr>
          <w:rFonts w:ascii="宋体"/>
          <w:color w:val="000000"/>
        </w:rPr>
        <w:t>医</w:t>
      </w:r>
      <w:proofErr w:type="gramEnd"/>
      <w:r>
        <w:rPr>
          <w:rFonts w:ascii="宋体"/>
          <w:color w:val="000000"/>
        </w:rPr>
        <w:t>、</w:t>
      </w:r>
      <w:proofErr w:type="gramStart"/>
      <w:r>
        <w:rPr>
          <w:rFonts w:ascii="宋体"/>
          <w:color w:val="000000"/>
        </w:rPr>
        <w:t>护之间</w:t>
      </w:r>
      <w:r>
        <w:rPr>
          <w:rFonts w:ascii="宋体" w:hint="eastAsia"/>
          <w:color w:val="000000"/>
        </w:rPr>
        <w:t>高效</w:t>
      </w:r>
      <w:r>
        <w:rPr>
          <w:rFonts w:ascii="宋体"/>
          <w:color w:val="000000"/>
        </w:rPr>
        <w:t>合作</w:t>
      </w:r>
      <w:proofErr w:type="gramEnd"/>
      <w:r>
        <w:rPr>
          <w:rFonts w:ascii="宋体"/>
          <w:color w:val="000000"/>
        </w:rPr>
        <w:t>的方法，方法具有可操作性和公平性。方案中应当体现临床医生在</w:t>
      </w:r>
      <w:proofErr w:type="gramStart"/>
      <w:r>
        <w:rPr>
          <w:rFonts w:ascii="宋体"/>
          <w:color w:val="000000"/>
        </w:rPr>
        <w:t>研判分析</w:t>
      </w:r>
      <w:proofErr w:type="gramEnd"/>
      <w:r>
        <w:rPr>
          <w:rFonts w:ascii="宋体"/>
          <w:color w:val="000000"/>
        </w:rPr>
        <w:t>检查、检验结</w:t>
      </w:r>
      <w:r>
        <w:rPr>
          <w:rFonts w:ascii="宋体"/>
          <w:color w:val="000000"/>
        </w:rPr>
        <w:lastRenderedPageBreak/>
        <w:t>果的劳动付出，但是不能以检查和检验项目的收入衡量医务人员的劳动付出。</w:t>
      </w:r>
    </w:p>
    <w:p w:rsidR="00914B3F" w:rsidRDefault="00F31EA5">
      <w:pPr>
        <w:rPr>
          <w:rFonts w:ascii="宋体"/>
          <w:color w:val="000000"/>
        </w:rPr>
      </w:pPr>
      <w:bookmarkStart w:id="19" w:name="_Toc27601983"/>
      <w:r>
        <w:rPr>
          <w:rFonts w:ascii="宋体"/>
          <w:color w:val="000000"/>
        </w:rPr>
        <w:t>各核算单元实行</w:t>
      </w:r>
      <w:r>
        <w:rPr>
          <w:rFonts w:ascii="宋体"/>
          <w:color w:val="000000"/>
        </w:rPr>
        <w:t>“</w:t>
      </w:r>
      <w:r>
        <w:rPr>
          <w:rFonts w:ascii="宋体"/>
          <w:color w:val="000000"/>
        </w:rPr>
        <w:t>院科</w:t>
      </w:r>
      <w:r>
        <w:rPr>
          <w:rFonts w:ascii="宋体" w:hint="eastAsia"/>
          <w:color w:val="000000"/>
        </w:rPr>
        <w:t>（组）</w:t>
      </w:r>
      <w:r>
        <w:rPr>
          <w:rFonts w:ascii="宋体"/>
          <w:color w:val="000000"/>
        </w:rPr>
        <w:t>两级分配制度</w:t>
      </w:r>
      <w:r>
        <w:rPr>
          <w:rFonts w:ascii="宋体"/>
          <w:color w:val="000000"/>
        </w:rPr>
        <w:t>”</w:t>
      </w:r>
      <w:r>
        <w:rPr>
          <w:rFonts w:ascii="宋体"/>
          <w:color w:val="000000"/>
        </w:rPr>
        <w:t>，科室</w:t>
      </w:r>
      <w:r>
        <w:rPr>
          <w:rFonts w:ascii="宋体" w:hint="eastAsia"/>
          <w:color w:val="000000"/>
        </w:rPr>
        <w:t>（医疗组）</w:t>
      </w:r>
      <w:r>
        <w:rPr>
          <w:rFonts w:ascii="宋体"/>
          <w:color w:val="000000"/>
        </w:rPr>
        <w:t>两级分配由科主任</w:t>
      </w:r>
      <w:r>
        <w:rPr>
          <w:rFonts w:ascii="宋体" w:hint="eastAsia"/>
          <w:color w:val="000000"/>
        </w:rPr>
        <w:t>（医疗组长）</w:t>
      </w:r>
      <w:r>
        <w:rPr>
          <w:rFonts w:ascii="宋体"/>
          <w:color w:val="000000"/>
        </w:rPr>
        <w:t>、护士长负责，科</w:t>
      </w:r>
      <w:bookmarkStart w:id="20" w:name="page39"/>
      <w:bookmarkEnd w:id="20"/>
      <w:r>
        <w:rPr>
          <w:rFonts w:ascii="宋体" w:hint="eastAsia"/>
          <w:color w:val="000000"/>
        </w:rPr>
        <w:t>（医疗组）</w:t>
      </w:r>
      <w:r>
        <w:rPr>
          <w:rFonts w:ascii="宋体"/>
          <w:color w:val="000000"/>
        </w:rPr>
        <w:t>内分配至个人，上交绩效管理部门核准，再由财务</w:t>
      </w:r>
      <w:r>
        <w:rPr>
          <w:rFonts w:ascii="宋体" w:hint="eastAsia"/>
          <w:color w:val="000000"/>
        </w:rPr>
        <w:t>处</w:t>
      </w:r>
      <w:r>
        <w:rPr>
          <w:rFonts w:ascii="宋体"/>
          <w:color w:val="000000"/>
        </w:rPr>
        <w:t>发放到个人。</w:t>
      </w:r>
    </w:p>
    <w:p w:rsidR="00914B3F" w:rsidRDefault="00F31EA5">
      <w:pPr>
        <w:pStyle w:val="3"/>
        <w:spacing w:beforeLines="0" w:before="156" w:afterLines="0" w:after="156"/>
        <w:rPr>
          <w:rFonts w:ascii="宋体"/>
        </w:rPr>
      </w:pPr>
      <w:bookmarkStart w:id="21" w:name="_Toc55724266"/>
      <w:r>
        <w:rPr>
          <w:rFonts w:ascii="宋体" w:hint="eastAsia"/>
        </w:rPr>
        <w:t>3、D</w:t>
      </w:r>
      <w:r>
        <w:rPr>
          <w:rFonts w:ascii="宋体"/>
        </w:rPr>
        <w:t>RG</w:t>
      </w:r>
      <w:r>
        <w:rPr>
          <w:rFonts w:ascii="宋体" w:hint="eastAsia"/>
        </w:rPr>
        <w:t>绩效方案设计</w:t>
      </w:r>
      <w:bookmarkEnd w:id="19"/>
      <w:bookmarkEnd w:id="21"/>
    </w:p>
    <w:p w:rsidR="00914B3F" w:rsidRDefault="00F31EA5">
      <w:pPr>
        <w:ind w:firstLineChars="200" w:firstLine="480"/>
        <w:rPr>
          <w:rFonts w:ascii="宋体"/>
          <w:color w:val="000000"/>
        </w:rPr>
      </w:pPr>
      <w:r>
        <w:rPr>
          <w:rFonts w:ascii="宋体" w:hint="eastAsia"/>
          <w:color w:val="000000"/>
        </w:rPr>
        <w:t>利用D</w:t>
      </w:r>
      <w:r>
        <w:rPr>
          <w:rFonts w:ascii="宋体"/>
          <w:color w:val="000000"/>
        </w:rPr>
        <w:t>RG</w:t>
      </w:r>
      <w:r>
        <w:rPr>
          <w:rFonts w:ascii="宋体" w:hint="eastAsia"/>
          <w:color w:val="000000"/>
        </w:rPr>
        <w:t>测算结果结合RBRVS工作量进行绩效核算，将D</w:t>
      </w:r>
      <w:r>
        <w:rPr>
          <w:rFonts w:ascii="宋体"/>
          <w:color w:val="000000"/>
        </w:rPr>
        <w:t>RG</w:t>
      </w:r>
      <w:r>
        <w:rPr>
          <w:rFonts w:ascii="宋体" w:hint="eastAsia"/>
          <w:color w:val="000000"/>
        </w:rPr>
        <w:t>病种点数值纳入RBRVS绩效奖金核算，并利用其他</w:t>
      </w:r>
      <w:r>
        <w:rPr>
          <w:rFonts w:ascii="宋体"/>
          <w:color w:val="000000"/>
        </w:rPr>
        <w:t>DRG</w:t>
      </w:r>
      <w:r>
        <w:rPr>
          <w:rFonts w:ascii="宋体" w:hint="eastAsia"/>
          <w:color w:val="000000"/>
        </w:rPr>
        <w:t>指标对医疗服务效率、均衡发展、医疗服务能力和质量安全等方面评价并与考核挂钩。</w:t>
      </w:r>
    </w:p>
    <w:p w:rsidR="00914B3F" w:rsidRDefault="00F31EA5">
      <w:pPr>
        <w:pStyle w:val="3"/>
        <w:spacing w:beforeLines="0" w:before="156" w:afterLines="0" w:after="156"/>
        <w:rPr>
          <w:rFonts w:ascii="宋体"/>
        </w:rPr>
      </w:pPr>
      <w:bookmarkStart w:id="22" w:name="_Toc27601984"/>
      <w:bookmarkStart w:id="23" w:name="_Toc55724267"/>
      <w:r>
        <w:rPr>
          <w:rFonts w:ascii="宋体" w:hint="eastAsia"/>
        </w:rPr>
        <w:t>4、收费服务窗口、药学、供应室等科室绩效评价方案设计</w:t>
      </w:r>
      <w:bookmarkEnd w:id="22"/>
      <w:bookmarkEnd w:id="23"/>
    </w:p>
    <w:p w:rsidR="00914B3F" w:rsidRDefault="00F31EA5">
      <w:pPr>
        <w:ind w:firstLineChars="200" w:firstLine="480"/>
        <w:rPr>
          <w:rFonts w:ascii="宋体"/>
          <w:color w:val="000000"/>
        </w:rPr>
      </w:pPr>
      <w:r>
        <w:rPr>
          <w:rFonts w:ascii="宋体" w:hint="eastAsia"/>
          <w:color w:val="000000"/>
        </w:rPr>
        <w:t>对窗口、药学和供应室等的科室，根据历史绩效水平和工作量，利用</w:t>
      </w:r>
      <w:r>
        <w:rPr>
          <w:rFonts w:ascii="宋体"/>
          <w:color w:val="000000"/>
        </w:rPr>
        <w:t>6</w:t>
      </w:r>
      <w:r>
        <w:rPr>
          <w:rFonts w:ascii="宋体" w:hint="eastAsia"/>
          <w:color w:val="000000"/>
        </w:rPr>
        <w:t>-</w:t>
      </w:r>
      <w:r>
        <w:rPr>
          <w:rFonts w:ascii="宋体"/>
          <w:color w:val="000000"/>
        </w:rPr>
        <w:t>12</w:t>
      </w:r>
      <w:r>
        <w:rPr>
          <w:rFonts w:ascii="宋体" w:hint="eastAsia"/>
          <w:color w:val="000000"/>
        </w:rPr>
        <w:t>个月的数据回归测算，测定每个工作项目（无医疗项目收费）的点数和点价格，并充分考虑与医护技科室的绩效工资水平差距，尊重历史绩效工资水平合理分配。</w:t>
      </w:r>
    </w:p>
    <w:p w:rsidR="00914B3F" w:rsidRDefault="00F31EA5">
      <w:pPr>
        <w:pStyle w:val="3"/>
        <w:spacing w:beforeLines="0" w:before="156" w:afterLines="0" w:after="156"/>
        <w:rPr>
          <w:rFonts w:ascii="宋体"/>
        </w:rPr>
      </w:pPr>
      <w:bookmarkStart w:id="24" w:name="_Toc27601985"/>
      <w:bookmarkStart w:id="25" w:name="_Toc55724268"/>
      <w:r>
        <w:rPr>
          <w:rFonts w:ascii="宋体" w:hint="eastAsia"/>
        </w:rPr>
        <w:t>5、科室直接成本管控方案设计</w:t>
      </w:r>
      <w:bookmarkEnd w:id="24"/>
      <w:bookmarkEnd w:id="25"/>
    </w:p>
    <w:p w:rsidR="00914B3F" w:rsidRDefault="00F31EA5">
      <w:pPr>
        <w:ind w:firstLineChars="200" w:firstLine="480"/>
        <w:rPr>
          <w:rFonts w:ascii="宋体"/>
          <w:color w:val="000000"/>
        </w:rPr>
      </w:pPr>
      <w:r>
        <w:rPr>
          <w:rFonts w:ascii="宋体"/>
          <w:color w:val="000000"/>
        </w:rPr>
        <w:t>所有核算单元</w:t>
      </w:r>
      <w:r>
        <w:rPr>
          <w:rFonts w:ascii="宋体" w:hint="eastAsia"/>
          <w:color w:val="000000"/>
        </w:rPr>
        <w:t>以</w:t>
      </w:r>
      <w:r>
        <w:rPr>
          <w:rFonts w:ascii="宋体"/>
          <w:color w:val="000000"/>
        </w:rPr>
        <w:t>直接成本</w:t>
      </w:r>
      <w:r>
        <w:rPr>
          <w:rFonts w:ascii="宋体" w:hint="eastAsia"/>
          <w:color w:val="000000"/>
        </w:rPr>
        <w:t>作为管理口径，绩效方案设计要把直接成本全部</w:t>
      </w:r>
      <w:r>
        <w:rPr>
          <w:rFonts w:ascii="宋体"/>
          <w:color w:val="000000"/>
        </w:rPr>
        <w:t>纳入绩效工资核算管理，</w:t>
      </w:r>
      <w:r>
        <w:rPr>
          <w:rFonts w:ascii="宋体" w:hint="eastAsia"/>
          <w:color w:val="000000"/>
        </w:rPr>
        <w:t>包含房屋折旧、人力成本、设备折旧等直接固定成本，包含卫生材料、药品、办公用品、</w:t>
      </w:r>
      <w:proofErr w:type="gramStart"/>
      <w:r>
        <w:rPr>
          <w:rFonts w:ascii="宋体" w:hint="eastAsia"/>
          <w:color w:val="000000"/>
        </w:rPr>
        <w:t>医辅部门</w:t>
      </w:r>
      <w:proofErr w:type="gramEnd"/>
      <w:r>
        <w:rPr>
          <w:rFonts w:ascii="宋体" w:hint="eastAsia"/>
          <w:color w:val="000000"/>
        </w:rPr>
        <w:t>发生的费用等直接变动成本。同时</w:t>
      </w:r>
      <w:r>
        <w:rPr>
          <w:rFonts w:ascii="宋体"/>
          <w:color w:val="000000"/>
        </w:rPr>
        <w:t>应把医院现有的物流系统区分为可收费和不可收费两部分卫生材料，在此基础上再区分为高值耗材与低值耗材两部分材料</w:t>
      </w:r>
      <w:r>
        <w:rPr>
          <w:rFonts w:ascii="宋体" w:hint="eastAsia"/>
          <w:color w:val="000000"/>
        </w:rPr>
        <w:t>进行成本管控，达到成本精细化管理的目的。</w:t>
      </w:r>
    </w:p>
    <w:p w:rsidR="00914B3F" w:rsidRDefault="00F31EA5">
      <w:pPr>
        <w:pStyle w:val="3"/>
        <w:spacing w:beforeLines="0" w:before="156" w:afterLines="0" w:after="156"/>
        <w:rPr>
          <w:rFonts w:ascii="宋体"/>
        </w:rPr>
      </w:pPr>
      <w:bookmarkStart w:id="26" w:name="_Toc27601986"/>
      <w:bookmarkStart w:id="27" w:name="_Toc55724269"/>
      <w:r>
        <w:rPr>
          <w:rFonts w:ascii="宋体" w:hint="eastAsia"/>
        </w:rPr>
        <w:t>6、手术专项绩效评价方案设计</w:t>
      </w:r>
      <w:bookmarkEnd w:id="26"/>
      <w:bookmarkEnd w:id="27"/>
    </w:p>
    <w:p w:rsidR="00914B3F" w:rsidRDefault="00F31EA5">
      <w:pPr>
        <w:ind w:firstLineChars="200" w:firstLine="480"/>
        <w:rPr>
          <w:rFonts w:ascii="宋体"/>
          <w:color w:val="000000"/>
        </w:rPr>
      </w:pPr>
      <w:r>
        <w:rPr>
          <w:rFonts w:ascii="宋体" w:hint="eastAsia"/>
          <w:color w:val="000000"/>
        </w:rPr>
        <w:t>根据医院实际情况，对手术进行单项绩效评价方案设计，利用历史数据和医院预期，针对不同科室类型，疾病复杂程度不同，服务人次数量等情况，进行基数测定，对手术难度和台次等多维度进行增量评价和激励。</w:t>
      </w:r>
    </w:p>
    <w:p w:rsidR="00914B3F" w:rsidRDefault="00F31EA5">
      <w:pPr>
        <w:pStyle w:val="3"/>
        <w:spacing w:beforeLines="0" w:before="156" w:afterLines="0" w:after="156"/>
        <w:rPr>
          <w:rFonts w:ascii="宋体"/>
        </w:rPr>
      </w:pPr>
      <w:bookmarkStart w:id="28" w:name="_Toc27601987"/>
      <w:bookmarkStart w:id="29" w:name="_Toc55724270"/>
      <w:r>
        <w:rPr>
          <w:rFonts w:ascii="宋体"/>
        </w:rPr>
        <w:t>7</w:t>
      </w:r>
      <w:r>
        <w:rPr>
          <w:rFonts w:ascii="宋体" w:hint="eastAsia"/>
        </w:rPr>
        <w:t>、三级公立医院绩效考核指标嵌入核算核算单元的方案</w:t>
      </w:r>
      <w:bookmarkEnd w:id="28"/>
      <w:r>
        <w:rPr>
          <w:rFonts w:ascii="宋体" w:hint="eastAsia"/>
        </w:rPr>
        <w:t>设计</w:t>
      </w:r>
      <w:bookmarkEnd w:id="29"/>
    </w:p>
    <w:p w:rsidR="00914B3F" w:rsidRDefault="00F31EA5">
      <w:pPr>
        <w:ind w:firstLineChars="200" w:firstLine="480"/>
        <w:rPr>
          <w:rFonts w:ascii="宋体"/>
          <w:color w:val="000000"/>
        </w:rPr>
      </w:pPr>
      <w:r>
        <w:rPr>
          <w:rFonts w:ascii="宋体" w:hint="eastAsia"/>
          <w:color w:val="000000"/>
        </w:rPr>
        <w:t>支持</w:t>
      </w:r>
      <w:r>
        <w:rPr>
          <w:rFonts w:ascii="宋体"/>
          <w:color w:val="000000"/>
        </w:rPr>
        <w:t>56</w:t>
      </w:r>
      <w:r>
        <w:rPr>
          <w:rFonts w:ascii="宋体" w:hint="eastAsia"/>
          <w:color w:val="000000"/>
        </w:rPr>
        <w:t>条考核指标嵌入各核算单元，提供指导意见。</w:t>
      </w:r>
    </w:p>
    <w:p w:rsidR="00914B3F" w:rsidRDefault="00F31EA5">
      <w:pPr>
        <w:pStyle w:val="3"/>
        <w:spacing w:beforeLines="0" w:before="156" w:afterLines="0" w:after="156"/>
        <w:rPr>
          <w:rFonts w:ascii="宋体"/>
        </w:rPr>
      </w:pPr>
      <w:bookmarkStart w:id="30" w:name="_Toc27601988"/>
      <w:bookmarkStart w:id="31" w:name="_Toc55724271"/>
      <w:r>
        <w:rPr>
          <w:rFonts w:ascii="宋体"/>
        </w:rPr>
        <w:lastRenderedPageBreak/>
        <w:t>8</w:t>
      </w:r>
      <w:r>
        <w:rPr>
          <w:rFonts w:ascii="宋体" w:hint="eastAsia"/>
        </w:rPr>
        <w:t>、二次分配指导意见方案设计</w:t>
      </w:r>
      <w:bookmarkEnd w:id="30"/>
      <w:bookmarkEnd w:id="31"/>
    </w:p>
    <w:p w:rsidR="00914B3F" w:rsidRDefault="00F31EA5">
      <w:pPr>
        <w:ind w:firstLineChars="200" w:firstLine="480"/>
        <w:rPr>
          <w:rFonts w:ascii="宋体"/>
          <w:color w:val="000000"/>
        </w:rPr>
      </w:pPr>
      <w:r>
        <w:rPr>
          <w:rFonts w:ascii="宋体" w:hint="eastAsia"/>
          <w:color w:val="000000"/>
        </w:rPr>
        <w:t>提供二次分配指导意见的方案。各科室可通过软件系统把二次分配方案上传至绩效管理部门，审核后发放。</w:t>
      </w:r>
    </w:p>
    <w:p w:rsidR="00914B3F" w:rsidRDefault="00914B3F">
      <w:pPr>
        <w:ind w:firstLineChars="200" w:firstLine="480"/>
        <w:jc w:val="left"/>
        <w:rPr>
          <w:rFonts w:ascii="宋体"/>
          <w:szCs w:val="24"/>
        </w:rPr>
      </w:pPr>
    </w:p>
    <w:p w:rsidR="00914B3F" w:rsidRDefault="00F31EA5">
      <w:pPr>
        <w:pStyle w:val="2"/>
        <w:rPr>
          <w:rFonts w:ascii="宋体"/>
        </w:rPr>
      </w:pPr>
      <w:bookmarkStart w:id="32" w:name="_Toc55724272"/>
      <w:r>
        <w:rPr>
          <w:rFonts w:ascii="宋体"/>
        </w:rPr>
        <w:t>（</w:t>
      </w:r>
      <w:r>
        <w:rPr>
          <w:rFonts w:ascii="宋体" w:hint="eastAsia"/>
        </w:rPr>
        <w:t>三</w:t>
      </w:r>
      <w:r>
        <w:rPr>
          <w:rFonts w:ascii="宋体"/>
        </w:rPr>
        <w:t>）</w:t>
      </w:r>
      <w:r>
        <w:rPr>
          <w:rFonts w:ascii="宋体" w:hint="eastAsia"/>
        </w:rPr>
        <w:t>绩效软件管理系统具体要求</w:t>
      </w:r>
      <w:bookmarkEnd w:id="32"/>
    </w:p>
    <w:p w:rsidR="00914B3F" w:rsidRDefault="00F31EA5">
      <w:pPr>
        <w:pStyle w:val="3"/>
        <w:spacing w:beforeLines="0" w:before="156" w:afterLines="0" w:after="156"/>
        <w:rPr>
          <w:rFonts w:ascii="宋体"/>
        </w:rPr>
      </w:pPr>
      <w:bookmarkStart w:id="33" w:name="_Toc10200299"/>
      <w:bookmarkStart w:id="34" w:name="_Toc55724273"/>
      <w:r>
        <w:rPr>
          <w:rFonts w:ascii="宋体" w:hint="eastAsia"/>
        </w:rPr>
        <w:t>1、功能项目</w:t>
      </w:r>
      <w:bookmarkEnd w:id="33"/>
      <w:bookmarkEnd w:id="34"/>
    </w:p>
    <w:tbl>
      <w:tblPr>
        <w:tblW w:w="8220" w:type="dxa"/>
        <w:tblLook w:val="04A0" w:firstRow="1" w:lastRow="0" w:firstColumn="1" w:lastColumn="0" w:noHBand="0" w:noVBand="1"/>
      </w:tblPr>
      <w:tblGrid>
        <w:gridCol w:w="1400"/>
        <w:gridCol w:w="1790"/>
        <w:gridCol w:w="5030"/>
      </w:tblGrid>
      <w:tr w:rsidR="00914B3F">
        <w:trPr>
          <w:trHeight w:val="276"/>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一级功能</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二级功能</w:t>
            </w:r>
          </w:p>
        </w:tc>
        <w:tc>
          <w:tcPr>
            <w:tcW w:w="5030" w:type="dxa"/>
            <w:tcBorders>
              <w:top w:val="single" w:sz="4" w:space="0" w:color="auto"/>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功能描述</w:t>
            </w:r>
          </w:p>
        </w:tc>
      </w:tr>
      <w:tr w:rsidR="00914B3F">
        <w:trPr>
          <w:trHeight w:val="276"/>
        </w:trPr>
        <w:tc>
          <w:tcPr>
            <w:tcW w:w="1400" w:type="dxa"/>
            <w:vMerge w:val="restart"/>
            <w:tcBorders>
              <w:top w:val="nil"/>
              <w:left w:val="single" w:sz="4" w:space="0" w:color="auto"/>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系统操作</w:t>
            </w:r>
          </w:p>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登录</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用户输入账户登录</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退出</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用户注销当前状态</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修改密码</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用户修改自己的密码</w:t>
            </w:r>
          </w:p>
        </w:tc>
      </w:tr>
      <w:tr w:rsidR="00914B3F">
        <w:trPr>
          <w:trHeight w:val="552"/>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系统通知</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其他用户或者系统发送消息给用户，用户可</w:t>
            </w:r>
            <w:proofErr w:type="gramStart"/>
            <w:r>
              <w:rPr>
                <w:rFonts w:ascii="等线" w:eastAsia="等线" w:cs="宋体" w:hint="eastAsia"/>
                <w:color w:val="000000"/>
                <w:kern w:val="0"/>
                <w:sz w:val="22"/>
                <w:szCs w:val="22"/>
              </w:rPr>
              <w:t>通过弹窗查看</w:t>
            </w:r>
            <w:proofErr w:type="gramEnd"/>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流程引擎</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流程控制，确保用户在绩效核算之前完成所有必要步骤</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一次指引</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图形方式指引用户完成绩效核算和操作</w:t>
            </w:r>
          </w:p>
        </w:tc>
      </w:tr>
      <w:tr w:rsidR="00914B3F">
        <w:trPr>
          <w:trHeight w:val="276"/>
        </w:trPr>
        <w:tc>
          <w:tcPr>
            <w:tcW w:w="1400" w:type="dxa"/>
            <w:vMerge w:val="restart"/>
            <w:tcBorders>
              <w:top w:val="nil"/>
              <w:left w:val="single" w:sz="4" w:space="0" w:color="auto"/>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一次评价分配</w:t>
            </w:r>
          </w:p>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一次评价计算</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按照点数、规则、公式计算一次分配</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RVU点数维护</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维护RBRVS项目的基准点数和科室特殊点数</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核算模型管理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设置每个核算单元的公式、规则</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手工数据管理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绩效计算所需要的部分特殊数据，支持进行手工填写</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手工数据审核</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对录入的手工数据进行审核</w:t>
            </w:r>
          </w:p>
        </w:tc>
      </w:tr>
      <w:tr w:rsidR="00914B3F">
        <w:trPr>
          <w:trHeight w:val="276"/>
        </w:trPr>
        <w:tc>
          <w:tcPr>
            <w:tcW w:w="1400" w:type="dxa"/>
            <w:vMerge w:val="restart"/>
            <w:tcBorders>
              <w:top w:val="nil"/>
              <w:left w:val="single" w:sz="4" w:space="0" w:color="auto"/>
              <w:bottom w:val="single" w:sz="4" w:space="0" w:color="000000"/>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lastRenderedPageBreak/>
              <w:t>二次评价分配</w:t>
            </w:r>
          </w:p>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科室分配项目</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科室可自行设置绩效二次分配的名目</w:t>
            </w:r>
          </w:p>
        </w:tc>
      </w:tr>
      <w:tr w:rsidR="00914B3F">
        <w:trPr>
          <w:trHeight w:val="276"/>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科室绩效分配</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科室按照设置的二次分配项目自行发放绩效</w:t>
            </w:r>
          </w:p>
        </w:tc>
      </w:tr>
      <w:tr w:rsidR="00914B3F">
        <w:trPr>
          <w:trHeight w:val="276"/>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科室分配审核</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科主任对科室二次分配项目进行审核</w:t>
            </w:r>
          </w:p>
        </w:tc>
      </w:tr>
      <w:tr w:rsidR="00914B3F">
        <w:trPr>
          <w:trHeight w:val="276"/>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医院分配项目</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医院层面直接发放到个人的绩效项目可在此设置</w:t>
            </w:r>
          </w:p>
        </w:tc>
      </w:tr>
      <w:tr w:rsidR="00914B3F">
        <w:trPr>
          <w:trHeight w:val="552"/>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医院计发分配</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按照医院分配项目，由医院层面直接录入发放金额，并且计税</w:t>
            </w:r>
          </w:p>
        </w:tc>
      </w:tr>
      <w:tr w:rsidR="00914B3F">
        <w:trPr>
          <w:trHeight w:val="276"/>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医院计发审核</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对医院发放项目及金额进行审核</w:t>
            </w:r>
          </w:p>
        </w:tc>
      </w:tr>
      <w:tr w:rsidR="00914B3F">
        <w:trPr>
          <w:trHeight w:val="276"/>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成本管理</w:t>
            </w:r>
          </w:p>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成本项目管理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设置成本科目字典</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成本数据管理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成本数据录入、导入、导出</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成本数据分析</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成本数据校验和分析</w:t>
            </w:r>
          </w:p>
        </w:tc>
      </w:tr>
      <w:tr w:rsidR="00914B3F">
        <w:trPr>
          <w:trHeight w:val="276"/>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KPI管理</w:t>
            </w:r>
          </w:p>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指标管理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KPI指标模板的维护、指标分配到科室</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指标录入</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打分科室为各个核算单元进行打分</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指标审核</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对打分结果进行审核，并且计算出总分</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得分查询</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科室查询各自KPI的目标值、考核制以及对应得分</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目标值管理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维护不同核算单元的指标的目标值</w:t>
            </w:r>
          </w:p>
        </w:tc>
      </w:tr>
      <w:tr w:rsidR="00914B3F">
        <w:trPr>
          <w:trHeight w:val="276"/>
        </w:trPr>
        <w:tc>
          <w:tcPr>
            <w:tcW w:w="1400" w:type="dxa"/>
            <w:vMerge w:val="restart"/>
            <w:tcBorders>
              <w:top w:val="nil"/>
              <w:left w:val="single" w:sz="4" w:space="0" w:color="auto"/>
              <w:bottom w:val="single" w:sz="4" w:space="0" w:color="000000"/>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人事管理</w:t>
            </w:r>
          </w:p>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员工信息管理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全院员工个人信息的维护，可设置其对应HIS工号等</w:t>
            </w:r>
          </w:p>
        </w:tc>
      </w:tr>
      <w:tr w:rsidR="00914B3F">
        <w:trPr>
          <w:trHeight w:val="276"/>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员工月查询</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按月归档员工信息的查询，以及逐条信息的修改</w:t>
            </w:r>
          </w:p>
        </w:tc>
      </w:tr>
      <w:tr w:rsidR="00914B3F">
        <w:trPr>
          <w:trHeight w:val="276"/>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岗位字典</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设置院内岗位字典</w:t>
            </w:r>
          </w:p>
        </w:tc>
      </w:tr>
      <w:tr w:rsidR="00914B3F">
        <w:trPr>
          <w:trHeight w:val="276"/>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职称字典</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设置院内职称字典</w:t>
            </w:r>
          </w:p>
        </w:tc>
      </w:tr>
      <w:tr w:rsidR="00914B3F">
        <w:trPr>
          <w:trHeight w:val="276"/>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行政职务字典</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设置院内行政职务字典</w:t>
            </w:r>
          </w:p>
        </w:tc>
      </w:tr>
      <w:tr w:rsidR="00914B3F">
        <w:trPr>
          <w:trHeight w:val="276"/>
        </w:trPr>
        <w:tc>
          <w:tcPr>
            <w:tcW w:w="1400" w:type="dxa"/>
            <w:vMerge/>
            <w:tcBorders>
              <w:top w:val="nil"/>
              <w:left w:val="single" w:sz="4" w:space="0" w:color="auto"/>
              <w:bottom w:val="single" w:sz="4" w:space="0" w:color="000000"/>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护理能级字典</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设置院内护理能级字典</w:t>
            </w:r>
          </w:p>
        </w:tc>
      </w:tr>
      <w:tr w:rsidR="00914B3F">
        <w:trPr>
          <w:trHeight w:val="276"/>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lastRenderedPageBreak/>
              <w:t>组织架构管理</w:t>
            </w:r>
          </w:p>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核算单元管理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核算单元的设置，及其关联HIS科室的对应关系</w:t>
            </w:r>
          </w:p>
        </w:tc>
      </w:tr>
      <w:tr w:rsidR="00914B3F">
        <w:trPr>
          <w:trHeight w:val="552"/>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发放单元管理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在核算单元上层设置发放单元，维护发放单元和核算单元的对应关系</w:t>
            </w:r>
          </w:p>
        </w:tc>
      </w:tr>
      <w:tr w:rsidR="00914B3F">
        <w:trPr>
          <w:trHeight w:val="552"/>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科室管理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proofErr w:type="gramStart"/>
            <w:r>
              <w:rPr>
                <w:rFonts w:ascii="等线" w:eastAsia="等线" w:cs="宋体" w:hint="eastAsia"/>
                <w:color w:val="000000"/>
                <w:kern w:val="0"/>
                <w:sz w:val="22"/>
                <w:szCs w:val="22"/>
              </w:rPr>
              <w:t>按照院</w:t>
            </w:r>
            <w:proofErr w:type="gramEnd"/>
            <w:r>
              <w:rPr>
                <w:rFonts w:ascii="等线" w:eastAsia="等线" w:cs="宋体" w:hint="eastAsia"/>
                <w:color w:val="000000"/>
                <w:kern w:val="0"/>
                <w:sz w:val="22"/>
                <w:szCs w:val="22"/>
              </w:rPr>
              <w:t>内科室级别设置，创建科室字典，并且创建科室和核算单元的对应关系</w:t>
            </w:r>
          </w:p>
        </w:tc>
      </w:tr>
      <w:tr w:rsidR="00914B3F">
        <w:trPr>
          <w:trHeight w:val="552"/>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医疗组管理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设置全部医疗组，并建立医疗组和科室、核算单元的对应关系</w:t>
            </w:r>
          </w:p>
        </w:tc>
      </w:tr>
      <w:tr w:rsidR="00914B3F">
        <w:trPr>
          <w:trHeight w:val="552"/>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数据汇</w:t>
            </w:r>
            <w:proofErr w:type="gramStart"/>
            <w:r>
              <w:rPr>
                <w:rFonts w:ascii="等线" w:eastAsia="等线" w:cs="宋体" w:hint="eastAsia"/>
                <w:color w:val="000000"/>
                <w:kern w:val="0"/>
                <w:sz w:val="22"/>
                <w:szCs w:val="22"/>
              </w:rPr>
              <w:t>总分析</w:t>
            </w:r>
            <w:proofErr w:type="gramEnd"/>
          </w:p>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表格数据分析</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可对所有后台表格设置查询条件，并进行检索。支持数据导出</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数据采集情况</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监控数据采集的执行情况</w:t>
            </w:r>
          </w:p>
        </w:tc>
      </w:tr>
      <w:tr w:rsidR="00914B3F">
        <w:trPr>
          <w:trHeight w:val="552"/>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表格数据维护</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依照条件查询某些表格数据，并可直接对数据进行编辑和修改</w:t>
            </w:r>
          </w:p>
        </w:tc>
      </w:tr>
      <w:tr w:rsidR="00914B3F">
        <w:trPr>
          <w:trHeight w:val="552"/>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点数明细查询</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科室查询各自奖金规则的收费明细项，并支持明细数据下载功能</w:t>
            </w:r>
          </w:p>
        </w:tc>
      </w:tr>
      <w:tr w:rsidR="00914B3F">
        <w:trPr>
          <w:trHeight w:val="828"/>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后台明细透视图</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可以通过条件组合，查询收费明细、点数的完整信息，或者求和、平均、例数信息，功能类似于Excel的透视图。</w:t>
            </w:r>
          </w:p>
        </w:tc>
      </w:tr>
      <w:tr w:rsidR="00914B3F">
        <w:trPr>
          <w:trHeight w:val="552"/>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运营管理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数据分析的相关模块，可打开分析报表，或者执行各种系统级别的任务</w:t>
            </w:r>
          </w:p>
        </w:tc>
      </w:tr>
      <w:tr w:rsidR="00914B3F">
        <w:trPr>
          <w:trHeight w:val="276"/>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权限控制</w:t>
            </w:r>
          </w:p>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用户管理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维护用户信息</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权限管理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维护权限信息</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角色管理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维护角色信息</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菜单管理</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维护菜单信息</w:t>
            </w:r>
          </w:p>
        </w:tc>
      </w:tr>
      <w:tr w:rsidR="00914B3F">
        <w:trPr>
          <w:trHeight w:val="276"/>
        </w:trPr>
        <w:tc>
          <w:tcPr>
            <w:tcW w:w="1400" w:type="dxa"/>
            <w:vMerge/>
            <w:tcBorders>
              <w:top w:val="nil"/>
              <w:left w:val="single" w:sz="4" w:space="0" w:color="auto"/>
              <w:bottom w:val="single" w:sz="4" w:space="0" w:color="auto"/>
              <w:right w:val="single" w:sz="4" w:space="0" w:color="auto"/>
            </w:tcBorders>
            <w:vAlign w:val="center"/>
          </w:tcPr>
          <w:p w:rsidR="00914B3F" w:rsidRDefault="00914B3F"/>
        </w:tc>
        <w:tc>
          <w:tcPr>
            <w:tcW w:w="1790" w:type="dxa"/>
            <w:tcBorders>
              <w:top w:val="nil"/>
              <w:left w:val="nil"/>
              <w:bottom w:val="single" w:sz="4" w:space="0" w:color="auto"/>
              <w:right w:val="single" w:sz="4" w:space="0" w:color="auto"/>
            </w:tcBorders>
            <w:shd w:val="clear" w:color="auto" w:fill="auto"/>
            <w:noWrap/>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用户科室访问权限</w:t>
            </w:r>
          </w:p>
        </w:tc>
        <w:tc>
          <w:tcPr>
            <w:tcW w:w="5030" w:type="dxa"/>
            <w:tcBorders>
              <w:top w:val="nil"/>
              <w:left w:val="nil"/>
              <w:bottom w:val="single" w:sz="4" w:space="0" w:color="auto"/>
              <w:right w:val="single" w:sz="4" w:space="0" w:color="auto"/>
            </w:tcBorders>
            <w:shd w:val="clear" w:color="auto" w:fill="auto"/>
            <w:vAlign w:val="center"/>
          </w:tcPr>
          <w:p w:rsidR="00914B3F" w:rsidRDefault="00F31EA5">
            <w:pPr>
              <w:widowControl/>
              <w:spacing w:line="240" w:lineRule="auto"/>
              <w:jc w:val="left"/>
              <w:rPr>
                <w:rFonts w:ascii="等线" w:eastAsia="等线" w:cs="宋体"/>
                <w:color w:val="000000"/>
                <w:kern w:val="0"/>
                <w:sz w:val="22"/>
                <w:szCs w:val="22"/>
              </w:rPr>
            </w:pPr>
            <w:r>
              <w:rPr>
                <w:rFonts w:ascii="等线" w:eastAsia="等线" w:cs="宋体" w:hint="eastAsia"/>
                <w:color w:val="000000"/>
                <w:kern w:val="0"/>
                <w:sz w:val="22"/>
                <w:szCs w:val="22"/>
              </w:rPr>
              <w:t>设置用户可在不同模块访问不同核算单元</w:t>
            </w:r>
          </w:p>
        </w:tc>
      </w:tr>
    </w:tbl>
    <w:p w:rsidR="00914B3F" w:rsidRDefault="00914B3F"/>
    <w:p w:rsidR="00914B3F" w:rsidRDefault="00F31EA5">
      <w:pPr>
        <w:pStyle w:val="3"/>
        <w:spacing w:beforeLines="0" w:before="156" w:afterLines="0" w:after="156"/>
        <w:rPr>
          <w:rFonts w:ascii="宋体"/>
        </w:rPr>
      </w:pPr>
      <w:bookmarkStart w:id="35" w:name="_Toc10200300"/>
      <w:bookmarkStart w:id="36" w:name="_Toc55724274"/>
      <w:r>
        <w:rPr>
          <w:rFonts w:ascii="宋体" w:hint="eastAsia"/>
        </w:rPr>
        <w:t>2、功能描述</w:t>
      </w:r>
      <w:bookmarkEnd w:id="35"/>
      <w:bookmarkEnd w:id="36"/>
    </w:p>
    <w:p w:rsidR="00914B3F" w:rsidRDefault="00F31EA5">
      <w:pPr>
        <w:rPr>
          <w:rFonts w:ascii="宋体"/>
        </w:rPr>
      </w:pPr>
      <w:r>
        <w:rPr>
          <w:rFonts w:ascii="宋体" w:hint="eastAsia"/>
        </w:rPr>
        <w:t>（1）数据采集：为保证现有资源的合理利用，系统应支持从现有医院信息系统和现有医院平台自动进行数据收集，采集范围可以包括HIS系统、LIS系统、PACS系统、电子病历系统、手术麻醉系统、成本核算系统、人事管理系统、排班考勤系统等。在院方的数据集成平台无法提供满足绩效所需数据和所需数据规模的情况下，可以采用面向数据库底层的数据采集方案。</w:t>
      </w:r>
    </w:p>
    <w:p w:rsidR="00914B3F" w:rsidRDefault="00F31EA5">
      <w:pPr>
        <w:rPr>
          <w:rFonts w:ascii="宋体"/>
        </w:rPr>
      </w:pPr>
      <w:r>
        <w:rPr>
          <w:rFonts w:ascii="宋体" w:hint="eastAsia"/>
        </w:rPr>
        <w:t>（2）数据补录：应保证绩效评价客观、公正，数据口径应尽可能完整，数据来源应尽可能丰富，应覆盖临床、管理的方方面面。就目前医院信息化建设情况而言，部分必备的数据需要通过手工补录的方式，记录到绩效系统当中。《绩效管理系统》必须支持对此类数据的补录和扩展应用，而无需再做过多的定制化开发。</w:t>
      </w:r>
    </w:p>
    <w:p w:rsidR="00914B3F" w:rsidRDefault="00F31EA5">
      <w:pPr>
        <w:rPr>
          <w:rFonts w:ascii="宋体"/>
        </w:rPr>
      </w:pPr>
      <w:r>
        <w:rPr>
          <w:rFonts w:ascii="宋体" w:hint="eastAsia"/>
        </w:rPr>
        <w:t>（3）数据上传：《绩效管理系统》各模块应当具备数据录入和上</w:t>
      </w:r>
      <w:proofErr w:type="gramStart"/>
      <w:r>
        <w:rPr>
          <w:rFonts w:ascii="宋体" w:hint="eastAsia"/>
        </w:rPr>
        <w:t>传两种</w:t>
      </w:r>
      <w:proofErr w:type="gramEnd"/>
      <w:r>
        <w:rPr>
          <w:rFonts w:ascii="宋体" w:hint="eastAsia"/>
        </w:rPr>
        <w:t>方式，以适应医院现有的数据处理习惯。为此，除常规的将数据输入到《绩效管理系统》外，还应当具备接收符合模板要求的Excel电子文档，以降低各科室在数据处理的学习成本。</w:t>
      </w:r>
    </w:p>
    <w:p w:rsidR="00914B3F" w:rsidRDefault="00F31EA5">
      <w:pPr>
        <w:rPr>
          <w:rFonts w:ascii="宋体"/>
        </w:rPr>
      </w:pPr>
      <w:r>
        <w:rPr>
          <w:rFonts w:ascii="宋体" w:hint="eastAsia"/>
        </w:rPr>
        <w:t>（</w:t>
      </w:r>
      <w:r>
        <w:rPr>
          <w:rFonts w:ascii="宋体"/>
        </w:rPr>
        <w:t>4</w:t>
      </w:r>
      <w:r>
        <w:rPr>
          <w:rFonts w:ascii="宋体" w:hint="eastAsia"/>
        </w:rPr>
        <w:t>）分配规则引擎：作为面向全院医生、护理、医技、管理不同职能领域的全面绩效管理系统，绩效的评价与分配的方法存在一定的差异性。为使一套系统满足不同的方案，而不必自定义新模块，绩效管理系统必须采用规则引擎进行绩效分配公式的定义。规则引擎支持用户随时修改规则、参数，且不需反复进行定制软件开发。</w:t>
      </w:r>
    </w:p>
    <w:p w:rsidR="00914B3F" w:rsidRDefault="00F31EA5">
      <w:pPr>
        <w:rPr>
          <w:rFonts w:ascii="宋体"/>
        </w:rPr>
      </w:pPr>
      <w:r>
        <w:rPr>
          <w:rFonts w:ascii="宋体" w:hint="eastAsia"/>
        </w:rPr>
        <w:t>（</w:t>
      </w:r>
      <w:r>
        <w:rPr>
          <w:rFonts w:ascii="宋体"/>
        </w:rPr>
        <w:t>5</w:t>
      </w:r>
      <w:r>
        <w:rPr>
          <w:rFonts w:ascii="宋体" w:hint="eastAsia"/>
        </w:rPr>
        <w:t>）点数规则引擎：本次绩效管理方案特点是以RBRVS的本地化方案为理论依据，计算各临床科室的工作量。点数规则引擎能将点数与规则结合，支持用户通过界面配置来完成项目点数的归属确认。通过多种条件的组合，能够实现较为复杂的逻辑。要求投标系统，必须至少具有按照医生科室、病人科室、员工、职称、</w:t>
      </w:r>
      <w:r>
        <w:rPr>
          <w:rFonts w:ascii="宋体" w:hint="eastAsia"/>
        </w:rPr>
        <w:lastRenderedPageBreak/>
        <w:t>费别、项目、员工身份、节假日工作、门诊住院工作等条件进行规则制定的能力。</w:t>
      </w:r>
    </w:p>
    <w:p w:rsidR="00914B3F" w:rsidRDefault="00F31EA5">
      <w:pPr>
        <w:rPr>
          <w:rFonts w:ascii="宋体"/>
        </w:rPr>
      </w:pPr>
      <w:r>
        <w:rPr>
          <w:rFonts w:ascii="宋体" w:hint="eastAsia"/>
        </w:rPr>
        <w:t>（</w:t>
      </w:r>
      <w:r>
        <w:rPr>
          <w:rFonts w:ascii="宋体"/>
        </w:rPr>
        <w:t>6</w:t>
      </w:r>
      <w:r>
        <w:rPr>
          <w:rFonts w:ascii="宋体" w:hint="eastAsia"/>
        </w:rPr>
        <w:t>）规则复用：为简化操作配置流程，可将职能和内涵相似的科室进行一致的处理。通过规则的快速复制或引用，能够尽快将项目落地，提高项目交付能力和后续维护质量。</w:t>
      </w:r>
    </w:p>
    <w:p w:rsidR="00914B3F" w:rsidRDefault="00F31EA5">
      <w:pPr>
        <w:rPr>
          <w:rFonts w:ascii="宋体"/>
        </w:rPr>
      </w:pPr>
      <w:r>
        <w:rPr>
          <w:rFonts w:ascii="宋体" w:hint="eastAsia"/>
        </w:rPr>
        <w:t>（7）指标编辑器：关键业绩指标作为绩效考核与评价的重要维度之一，应当可扩展、可调整、可定义。指标结果的计算逻辑必须由公式编辑器来定义，公式编辑器应当支持按</w:t>
      </w:r>
      <w:proofErr w:type="gramStart"/>
      <w:r>
        <w:rPr>
          <w:rFonts w:ascii="宋体" w:hint="eastAsia"/>
        </w:rPr>
        <w:t>录入值</w:t>
      </w:r>
      <w:proofErr w:type="gramEnd"/>
      <w:r>
        <w:rPr>
          <w:rFonts w:ascii="宋体" w:hint="eastAsia"/>
        </w:rPr>
        <w:t>进行梯度计算、按</w:t>
      </w:r>
      <w:proofErr w:type="gramStart"/>
      <w:r>
        <w:rPr>
          <w:rFonts w:ascii="宋体" w:hint="eastAsia"/>
        </w:rPr>
        <w:t>录入值</w:t>
      </w:r>
      <w:proofErr w:type="gramEnd"/>
      <w:r>
        <w:rPr>
          <w:rFonts w:ascii="宋体" w:hint="eastAsia"/>
        </w:rPr>
        <w:t>完成率进行梯度计算、按区间进行计算得分等模式。指标支持不同的考核周期（月、季度、半年、年度），指标编辑器支持引入外部变量</w:t>
      </w:r>
      <w:proofErr w:type="gramStart"/>
      <w:r>
        <w:rPr>
          <w:rFonts w:ascii="宋体" w:hint="eastAsia"/>
        </w:rPr>
        <w:t>来作</w:t>
      </w:r>
      <w:proofErr w:type="gramEnd"/>
      <w:r>
        <w:rPr>
          <w:rFonts w:ascii="宋体" w:hint="eastAsia"/>
        </w:rPr>
        <w:t>为指标的动态目标值。</w:t>
      </w:r>
    </w:p>
    <w:p w:rsidR="00914B3F" w:rsidRDefault="00F31EA5">
      <w:pPr>
        <w:rPr>
          <w:rFonts w:ascii="宋体"/>
        </w:rPr>
      </w:pPr>
      <w:r>
        <w:rPr>
          <w:rFonts w:ascii="宋体" w:hint="eastAsia"/>
        </w:rPr>
        <w:t>（8）指标考核关系：为满足当前院内关键业绩指标评价模式，《绩效管理系统》必须支持科室之间一对一考核、一对多考核、多对一考核。</w:t>
      </w:r>
    </w:p>
    <w:p w:rsidR="00914B3F" w:rsidRDefault="00F31EA5">
      <w:pPr>
        <w:rPr>
          <w:rFonts w:ascii="宋体"/>
        </w:rPr>
      </w:pPr>
      <w:r>
        <w:rPr>
          <w:rFonts w:ascii="宋体" w:hint="eastAsia"/>
        </w:rPr>
        <w:t>（9）指标考核模式：用户仅需要录入指标的原始值，由指标公式自行计算考核得分。每个指标的目标值支持固定目标、同期目标和浮动目标，支持按照不同考核周期调整浮动目标（月度、季度、半年、年度）。</w:t>
      </w:r>
    </w:p>
    <w:p w:rsidR="00914B3F" w:rsidRDefault="00F31EA5">
      <w:pPr>
        <w:rPr>
          <w:rFonts w:ascii="宋体"/>
        </w:rPr>
      </w:pPr>
      <w:r>
        <w:rPr>
          <w:rFonts w:ascii="宋体" w:hint="eastAsia"/>
        </w:rPr>
        <w:t>（</w:t>
      </w:r>
      <w:r>
        <w:rPr>
          <w:rFonts w:ascii="宋体"/>
        </w:rPr>
        <w:t>10</w:t>
      </w:r>
      <w:r>
        <w:rPr>
          <w:rFonts w:ascii="宋体" w:hint="eastAsia"/>
        </w:rPr>
        <w:t>）指标考核实现：为满足医院信息化建设与发展，指标考核的方式必须包括自动采集汇总、自动引用上一周期、电脑端手工上报和数据导入等方式，多种方式相结合，以满足不同岗位的评分人员在不同环境下能够对关键业绩指标进行打分。</w:t>
      </w:r>
    </w:p>
    <w:p w:rsidR="00914B3F" w:rsidRDefault="00F31EA5">
      <w:pPr>
        <w:rPr>
          <w:rFonts w:ascii="宋体"/>
        </w:rPr>
      </w:pPr>
      <w:r>
        <w:rPr>
          <w:rFonts w:ascii="宋体" w:hint="eastAsia"/>
        </w:rPr>
        <w:t>（</w:t>
      </w:r>
      <w:r>
        <w:rPr>
          <w:rFonts w:ascii="宋体"/>
        </w:rPr>
        <w:t>11</w:t>
      </w:r>
      <w:r>
        <w:rPr>
          <w:rFonts w:ascii="宋体" w:hint="eastAsia"/>
        </w:rPr>
        <w:t>）人员属性管理：本模块应当支持全院</w:t>
      </w:r>
      <w:proofErr w:type="gramStart"/>
      <w:r>
        <w:rPr>
          <w:rFonts w:ascii="宋体" w:hint="eastAsia"/>
        </w:rPr>
        <w:t>医</w:t>
      </w:r>
      <w:proofErr w:type="gramEnd"/>
      <w:r>
        <w:rPr>
          <w:rFonts w:ascii="宋体" w:hint="eastAsia"/>
        </w:rPr>
        <w:t>、护、技、行管、工勤等各岗位职工的人员属性维护，至少应包括工号、姓名、在职状态、入职离职时间、个人职类、绩效发放职类、所属科室、职称、护理能级、行政职务、岗位、是否计算个税，以及可扩展的身份属性定义。</w:t>
      </w:r>
    </w:p>
    <w:p w:rsidR="00914B3F" w:rsidRDefault="00F31EA5">
      <w:pPr>
        <w:rPr>
          <w:rFonts w:ascii="宋体"/>
        </w:rPr>
      </w:pPr>
      <w:r>
        <w:rPr>
          <w:rFonts w:ascii="宋体" w:hint="eastAsia"/>
        </w:rPr>
        <w:t>（</w:t>
      </w:r>
      <w:r>
        <w:rPr>
          <w:rFonts w:ascii="宋体"/>
        </w:rPr>
        <w:t>1</w:t>
      </w:r>
      <w:r>
        <w:rPr>
          <w:rFonts w:ascii="宋体" w:hint="eastAsia"/>
        </w:rPr>
        <w:t>2）员工主索引：系统应当支持人力资源系统、HIS系统等，在员工编码不同的情况下，仍然能够进行同</w:t>
      </w:r>
      <w:proofErr w:type="gramStart"/>
      <w:r>
        <w:rPr>
          <w:rFonts w:ascii="宋体" w:hint="eastAsia"/>
        </w:rPr>
        <w:t>一人员</w:t>
      </w:r>
      <w:proofErr w:type="gramEnd"/>
      <w:r>
        <w:rPr>
          <w:rFonts w:ascii="宋体" w:hint="eastAsia"/>
        </w:rPr>
        <w:t>的匹配和关联，以确保绩效评价过程中员工身份的统一。</w:t>
      </w:r>
    </w:p>
    <w:p w:rsidR="00914B3F" w:rsidRDefault="00F31EA5">
      <w:pPr>
        <w:rPr>
          <w:rFonts w:ascii="宋体"/>
        </w:rPr>
      </w:pPr>
      <w:r>
        <w:rPr>
          <w:rFonts w:ascii="宋体" w:hint="eastAsia"/>
        </w:rPr>
        <w:t>（</w:t>
      </w:r>
      <w:r>
        <w:rPr>
          <w:rFonts w:ascii="宋体"/>
        </w:rPr>
        <w:t>1</w:t>
      </w:r>
      <w:r>
        <w:rPr>
          <w:rFonts w:ascii="宋体" w:hint="eastAsia"/>
        </w:rPr>
        <w:t>3）人员系数管理：为满足基于年资的二次分配方案，针对不同职位、岗位、职称等必须能够设置相应系数，系数可应用于人员二次分配自动计算。</w:t>
      </w:r>
    </w:p>
    <w:p w:rsidR="00914B3F" w:rsidRDefault="00F31EA5">
      <w:pPr>
        <w:rPr>
          <w:rFonts w:ascii="宋体"/>
        </w:rPr>
      </w:pPr>
      <w:r>
        <w:rPr>
          <w:rFonts w:ascii="宋体" w:hint="eastAsia"/>
        </w:rPr>
        <w:t>（14）人员归档管理：为保证每月绩效数据的稳定，人员信息必须可按月进行归档和封账，在重新测算历史绩效时候，不得因人员变动而影响数据的合理性和真</w:t>
      </w:r>
      <w:r>
        <w:rPr>
          <w:rFonts w:ascii="宋体" w:hint="eastAsia"/>
        </w:rPr>
        <w:lastRenderedPageBreak/>
        <w:t>实性。</w:t>
      </w:r>
    </w:p>
    <w:p w:rsidR="00914B3F" w:rsidRDefault="00F31EA5">
      <w:pPr>
        <w:rPr>
          <w:rFonts w:ascii="宋体"/>
        </w:rPr>
      </w:pPr>
      <w:r>
        <w:rPr>
          <w:rFonts w:ascii="宋体" w:hint="eastAsia"/>
        </w:rPr>
        <w:t>（15）成本管理：绩效所需成本项目，必须支持自动采集、手工录入和批量导入的方式。支持任意多层级的成本项目。不同的成本项目在进入绩效分配运算时，应当考虑支持不同的计提比例，通过计提比例的调整确保成本因素在绩效比例中占比合理。</w:t>
      </w:r>
    </w:p>
    <w:p w:rsidR="00914B3F" w:rsidRDefault="00F31EA5">
      <w:pPr>
        <w:rPr>
          <w:rFonts w:ascii="宋体"/>
        </w:rPr>
      </w:pPr>
      <w:r>
        <w:rPr>
          <w:rFonts w:ascii="宋体" w:hint="eastAsia"/>
        </w:rPr>
        <w:t>（16）预提待摊：不同科室的成本项目因周期性波动，其数值变动较大。在系统中必须支持对个别月的成本进行预提待摊的处理，以消除波动性给科室带来的绩效巨大振幅，保证科室业务的正常运转。</w:t>
      </w:r>
    </w:p>
    <w:p w:rsidR="00914B3F" w:rsidRDefault="00F31EA5">
      <w:pPr>
        <w:rPr>
          <w:rFonts w:ascii="宋体"/>
        </w:rPr>
      </w:pPr>
      <w:r>
        <w:rPr>
          <w:rFonts w:ascii="宋体" w:hint="eastAsia"/>
        </w:rPr>
        <w:t>（17）RBRVS点数维护：全院收费项目必须通过本《绩效管理系统》和RBRVS的本土化点数结果进行一一对应，对应后的结果可在规则引擎中直接被应用而无需特殊处理。RBRVS的本土化点数可由程序统一进行升级，程序应当主动发现未被赋点数的收费项目，并由升级文件对未配点数的收费项目进行点数赋值。</w:t>
      </w:r>
    </w:p>
    <w:p w:rsidR="00914B3F" w:rsidRDefault="00F31EA5">
      <w:pPr>
        <w:rPr>
          <w:rFonts w:ascii="宋体"/>
        </w:rPr>
      </w:pPr>
      <w:r>
        <w:rPr>
          <w:rFonts w:ascii="宋体" w:hint="eastAsia"/>
        </w:rPr>
        <w:t>（18）点数维护安全机制：通过《绩效管理系统》进行的任何一次点数修改，都应能够通过系统回滚，确保点数维护过程中的数据安全和</w:t>
      </w:r>
      <w:proofErr w:type="gramStart"/>
      <w:r>
        <w:rPr>
          <w:rFonts w:ascii="宋体" w:hint="eastAsia"/>
        </w:rPr>
        <w:t>可</w:t>
      </w:r>
      <w:proofErr w:type="gramEnd"/>
      <w:r>
        <w:rPr>
          <w:rFonts w:ascii="宋体" w:hint="eastAsia"/>
        </w:rPr>
        <w:t>追溯。</w:t>
      </w:r>
    </w:p>
    <w:p w:rsidR="00914B3F" w:rsidRDefault="00F31EA5">
      <w:pPr>
        <w:rPr>
          <w:rFonts w:ascii="宋体"/>
        </w:rPr>
      </w:pPr>
      <w:r>
        <w:rPr>
          <w:rFonts w:ascii="宋体" w:hint="eastAsia"/>
        </w:rPr>
        <w:t>（19）基于CPT</w:t>
      </w:r>
      <w:r>
        <w:rPr>
          <w:rFonts w:ascii="宋体"/>
        </w:rPr>
        <w:t>-RBRVS</w:t>
      </w:r>
      <w:r>
        <w:rPr>
          <w:rFonts w:ascii="宋体" w:hint="eastAsia"/>
        </w:rPr>
        <w:t>的个性化升级：系统应该满足新增项目的RBRVS项目对应和升级，不同临床分工的科室应可享有个性化的RBRVS点数。对新技术新业务的点数，在个别科室可个性化调整，促使新业务新技术的良性开展。（20）手术单项：结合历史数据梳理手术科室的基础手术工作量，对于超过基础手术工作量的部分进行单项奖励。对超过的比例、超额的奖励都可通过系统动态调节，无需进行代码修改。</w:t>
      </w:r>
    </w:p>
    <w:p w:rsidR="00914B3F" w:rsidRDefault="00F31EA5">
      <w:pPr>
        <w:rPr>
          <w:rFonts w:ascii="宋体"/>
        </w:rPr>
      </w:pPr>
      <w:r>
        <w:rPr>
          <w:rFonts w:ascii="宋体" w:hint="eastAsia"/>
        </w:rPr>
        <w:t>（21）科室绩效发布流程：为灵活应对医院绩效管理部门奖金发放审核的流程管理要求，《绩效管理系统》应以配置形式实现一次分配奖金的审核、封账、发布事件的流程组合，且可针对不同节点设置不同权限。</w:t>
      </w:r>
    </w:p>
    <w:p w:rsidR="00914B3F" w:rsidRDefault="00F31EA5">
      <w:pPr>
        <w:rPr>
          <w:rFonts w:ascii="宋体"/>
        </w:rPr>
      </w:pPr>
      <w:r>
        <w:rPr>
          <w:rFonts w:ascii="宋体" w:hint="eastAsia"/>
        </w:rPr>
        <w:t>（22）个人绩效上报：为支持科室自行评价考核科内人员的绩效并进行发放，《绩效管理系统》必须包括本模块，支持科室将发放结果以手工填报、Excel上传等方式反馈到绩效管理部门。发放方式支持跨科室发放，允许核算单元负责人将部分绩效奖励给为本单元带来贡献的他科人员。</w:t>
      </w:r>
    </w:p>
    <w:p w:rsidR="00914B3F" w:rsidRDefault="00F31EA5">
      <w:pPr>
        <w:rPr>
          <w:rFonts w:ascii="宋体"/>
        </w:rPr>
      </w:pPr>
      <w:r>
        <w:rPr>
          <w:rFonts w:ascii="宋体" w:hint="eastAsia"/>
        </w:rPr>
        <w:t>（23）绩效调剂：为支持部分大科室主任对其所管辖科室进行绩效的调节与再分配，《绩效管理系统》必须包含科室之间总绩效横向调拨的功能，以满足大科主</w:t>
      </w:r>
      <w:r>
        <w:rPr>
          <w:rFonts w:ascii="宋体" w:hint="eastAsia"/>
        </w:rPr>
        <w:lastRenderedPageBreak/>
        <w:t>任的管理要求。（24）</w:t>
      </w:r>
      <w:proofErr w:type="gramStart"/>
      <w:r>
        <w:rPr>
          <w:rFonts w:ascii="宋体" w:hint="eastAsia"/>
        </w:rPr>
        <w:t>医</w:t>
      </w:r>
      <w:proofErr w:type="gramEnd"/>
      <w:r>
        <w:rPr>
          <w:rFonts w:ascii="宋体" w:hint="eastAsia"/>
        </w:rPr>
        <w:t>、护、技、行管不同类别的二次分配方案：《绩效管理系统》出支持个人绩效上报外，还必须支持复杂的科室分配方式，通过系统采集到的个人数据（手术、管床、排班、门诊、特殊治疗项目、自定义项目等）结合科室手工核准上报的项目，从年资、工作量、奖惩三个角度，自动对个人绩效进行评价和发放。</w:t>
      </w:r>
    </w:p>
    <w:p w:rsidR="00914B3F" w:rsidRDefault="00F31EA5">
      <w:pPr>
        <w:rPr>
          <w:rFonts w:ascii="宋体"/>
        </w:rPr>
      </w:pPr>
      <w:r>
        <w:rPr>
          <w:rFonts w:ascii="宋体" w:hint="eastAsia"/>
        </w:rPr>
        <w:t>（</w:t>
      </w:r>
      <w:r>
        <w:rPr>
          <w:rFonts w:ascii="宋体"/>
        </w:rPr>
        <w:t>2</w:t>
      </w:r>
      <w:r>
        <w:rPr>
          <w:rFonts w:ascii="宋体" w:hint="eastAsia"/>
        </w:rPr>
        <w:t>5）规则明细分析：通过系统能够精准定位到每一条收费项目所匹配的规则，以及规则核算主体，便于医院发现是否有工作量的分配被遗漏。</w:t>
      </w:r>
    </w:p>
    <w:p w:rsidR="00914B3F" w:rsidRDefault="00F31EA5">
      <w:pPr>
        <w:rPr>
          <w:rFonts w:ascii="宋体"/>
        </w:rPr>
      </w:pPr>
      <w:r>
        <w:rPr>
          <w:rFonts w:ascii="宋体" w:hint="eastAsia"/>
        </w:rPr>
        <w:t>（</w:t>
      </w:r>
      <w:r>
        <w:rPr>
          <w:rFonts w:ascii="宋体"/>
        </w:rPr>
        <w:t>2</w:t>
      </w:r>
      <w:r>
        <w:rPr>
          <w:rFonts w:ascii="宋体" w:hint="eastAsia"/>
        </w:rPr>
        <w:t>6）绩效发放分析：对每月绩效进行科室、职能类别进行同比环比等数据分析，进行点数、收入、利润等的对比分析。</w:t>
      </w:r>
    </w:p>
    <w:p w:rsidR="00914B3F" w:rsidRDefault="00F31EA5">
      <w:pPr>
        <w:rPr>
          <w:rFonts w:ascii="宋体"/>
        </w:rPr>
      </w:pPr>
      <w:r>
        <w:rPr>
          <w:rFonts w:ascii="宋体" w:hint="eastAsia"/>
        </w:rPr>
        <w:t>（27）权限控制：权限控制可精确到具体科室、具体按钮，确保权限控制有足够细的粒度。</w:t>
      </w:r>
    </w:p>
    <w:p w:rsidR="00914B3F" w:rsidRDefault="00F31EA5">
      <w:pPr>
        <w:rPr>
          <w:rFonts w:ascii="宋体"/>
        </w:rPr>
      </w:pPr>
      <w:r>
        <w:rPr>
          <w:rFonts w:ascii="宋体" w:hint="eastAsia"/>
        </w:rPr>
        <w:t>（28）角色分组：用户可按照角色将权限进行打包，角色之间可进行权限叠加。</w:t>
      </w:r>
    </w:p>
    <w:p w:rsidR="00914B3F" w:rsidRDefault="00F31EA5">
      <w:pPr>
        <w:rPr>
          <w:rFonts w:ascii="宋体"/>
        </w:rPr>
      </w:pPr>
      <w:r>
        <w:rPr>
          <w:rFonts w:ascii="宋体" w:hint="eastAsia"/>
        </w:rPr>
        <w:t>（29）日志分析：对用户的每一项操作都有详细的日志记录，每一次数据变化都可通过日志分析模块进行查询。</w:t>
      </w:r>
    </w:p>
    <w:p w:rsidR="00914B3F" w:rsidRDefault="00F31EA5">
      <w:pPr>
        <w:rPr>
          <w:rFonts w:ascii="宋体"/>
        </w:rPr>
      </w:pPr>
      <w:r>
        <w:rPr>
          <w:rFonts w:ascii="宋体" w:hint="eastAsia"/>
        </w:rPr>
        <w:t>（30）安全级别设置：系统应支持以配置形式实现医院的密码复杂度要求。</w:t>
      </w:r>
    </w:p>
    <w:p w:rsidR="00914B3F" w:rsidRDefault="0064464F" w:rsidP="00F50A73">
      <w:pPr>
        <w:pStyle w:val="1"/>
        <w:spacing w:beforeLines="0" w:before="156" w:afterLines="0" w:after="156"/>
        <w:rPr>
          <w:rFonts w:ascii="宋体"/>
          <w:szCs w:val="24"/>
        </w:rPr>
      </w:pPr>
      <w:r>
        <w:rPr>
          <w:rFonts w:ascii="宋体" w:hint="eastAsia"/>
          <w:szCs w:val="24"/>
        </w:rPr>
        <w:t>四、质保期</w:t>
      </w:r>
    </w:p>
    <w:p w:rsidR="0064464F" w:rsidRPr="0064464F" w:rsidRDefault="0064464F" w:rsidP="0064464F">
      <w:r>
        <w:tab/>
      </w:r>
      <w:r>
        <w:rPr>
          <w:rFonts w:hint="eastAsia"/>
        </w:rPr>
        <w:t>项目验收合格之日起一年。</w:t>
      </w:r>
    </w:p>
    <w:p w:rsidR="00914B3F" w:rsidRDefault="00F31EA5">
      <w:pPr>
        <w:pStyle w:val="1"/>
        <w:spacing w:beforeLines="0" w:before="156" w:afterLines="0" w:after="156"/>
        <w:rPr>
          <w:rFonts w:ascii="宋体"/>
        </w:rPr>
      </w:pPr>
      <w:bookmarkStart w:id="37" w:name="_Toc55724276"/>
      <w:r>
        <w:rPr>
          <w:rFonts w:ascii="宋体" w:hint="eastAsia"/>
        </w:rPr>
        <w:t>五、项目实施要求</w:t>
      </w:r>
      <w:bookmarkEnd w:id="37"/>
    </w:p>
    <w:p w:rsidR="00914B3F" w:rsidRDefault="00F31EA5">
      <w:pPr>
        <w:jc w:val="left"/>
        <w:rPr>
          <w:rFonts w:ascii="宋体"/>
          <w:szCs w:val="24"/>
        </w:rPr>
      </w:pPr>
      <w:r>
        <w:rPr>
          <w:rFonts w:ascii="宋体" w:hint="eastAsia"/>
          <w:szCs w:val="24"/>
        </w:rPr>
        <w:t>1、实施工期</w:t>
      </w:r>
      <w:r>
        <w:rPr>
          <w:rFonts w:ascii="宋体"/>
          <w:szCs w:val="24"/>
        </w:rPr>
        <w:t>6</w:t>
      </w:r>
      <w:r>
        <w:rPr>
          <w:rFonts w:ascii="宋体" w:hint="eastAsia"/>
          <w:szCs w:val="24"/>
        </w:rPr>
        <w:t>个月。</w:t>
      </w:r>
    </w:p>
    <w:p w:rsidR="00914B3F" w:rsidRDefault="00F31EA5">
      <w:pPr>
        <w:jc w:val="left"/>
        <w:rPr>
          <w:rFonts w:ascii="宋体"/>
          <w:szCs w:val="24"/>
        </w:rPr>
      </w:pPr>
      <w:r>
        <w:rPr>
          <w:rFonts w:ascii="宋体"/>
          <w:szCs w:val="24"/>
        </w:rPr>
        <w:t>2</w:t>
      </w:r>
      <w:r>
        <w:rPr>
          <w:rFonts w:ascii="宋体" w:hint="eastAsia"/>
          <w:szCs w:val="24"/>
        </w:rPr>
        <w:t>、提供数据整合方案。</w:t>
      </w:r>
    </w:p>
    <w:p w:rsidR="00914B3F" w:rsidRDefault="00F31EA5">
      <w:pPr>
        <w:jc w:val="left"/>
        <w:rPr>
          <w:rFonts w:ascii="宋体"/>
          <w:szCs w:val="24"/>
        </w:rPr>
      </w:pPr>
      <w:r>
        <w:rPr>
          <w:rFonts w:ascii="宋体"/>
          <w:szCs w:val="24"/>
        </w:rPr>
        <w:t>3</w:t>
      </w:r>
      <w:r>
        <w:rPr>
          <w:rFonts w:ascii="宋体" w:hint="eastAsia"/>
          <w:szCs w:val="24"/>
        </w:rPr>
        <w:t>、投标人应提供绩效咨询服务和软件系统的实施方案，以及实施组织、管理办法和应急方案等。</w:t>
      </w:r>
    </w:p>
    <w:p w:rsidR="00914B3F" w:rsidRDefault="00F31EA5">
      <w:pPr>
        <w:pStyle w:val="1"/>
        <w:spacing w:beforeLines="0" w:before="156" w:afterLines="0" w:after="156"/>
        <w:rPr>
          <w:rFonts w:ascii="宋体"/>
        </w:rPr>
      </w:pPr>
      <w:bookmarkStart w:id="38" w:name="_Toc55724277"/>
      <w:r>
        <w:rPr>
          <w:rFonts w:ascii="宋体" w:hint="eastAsia"/>
        </w:rPr>
        <w:t>六、售后服务要求</w:t>
      </w:r>
      <w:bookmarkEnd w:id="38"/>
    </w:p>
    <w:p w:rsidR="00914B3F" w:rsidRDefault="00F31EA5">
      <w:pPr>
        <w:jc w:val="left"/>
        <w:rPr>
          <w:rFonts w:ascii="宋体"/>
          <w:szCs w:val="24"/>
        </w:rPr>
      </w:pPr>
      <w:r>
        <w:rPr>
          <w:rFonts w:ascii="宋体" w:hint="eastAsia"/>
          <w:szCs w:val="24"/>
        </w:rPr>
        <w:t>1、培训系统管理员</w:t>
      </w:r>
    </w:p>
    <w:p w:rsidR="00914B3F" w:rsidRDefault="00F31EA5">
      <w:pPr>
        <w:ind w:firstLineChars="200" w:firstLine="480"/>
        <w:jc w:val="left"/>
        <w:rPr>
          <w:rFonts w:ascii="宋体"/>
          <w:szCs w:val="24"/>
        </w:rPr>
      </w:pPr>
      <w:r>
        <w:rPr>
          <w:rFonts w:ascii="宋体" w:hint="eastAsia"/>
          <w:szCs w:val="24"/>
        </w:rPr>
        <w:t>系统试运行期间，中标人负责为院方免费培训1-2名系统维护人员，通过培训，使维护人员能熟练规范的进行操作，对一般故障能进行处理和日常维护。</w:t>
      </w:r>
    </w:p>
    <w:p w:rsidR="00914B3F" w:rsidRDefault="00F31EA5">
      <w:pPr>
        <w:jc w:val="left"/>
        <w:rPr>
          <w:rFonts w:ascii="宋体"/>
          <w:szCs w:val="24"/>
        </w:rPr>
      </w:pPr>
      <w:r>
        <w:rPr>
          <w:rFonts w:ascii="宋体" w:hint="eastAsia"/>
          <w:szCs w:val="24"/>
        </w:rPr>
        <w:lastRenderedPageBreak/>
        <w:t>2、工作人员在得到通知后2小时内提供在线支持，</w:t>
      </w:r>
      <w:r>
        <w:rPr>
          <w:rFonts w:ascii="宋体"/>
          <w:szCs w:val="24"/>
        </w:rPr>
        <w:t>24</w:t>
      </w:r>
      <w:r>
        <w:rPr>
          <w:rFonts w:ascii="宋体" w:hint="eastAsia"/>
          <w:szCs w:val="24"/>
        </w:rPr>
        <w:t>-</w:t>
      </w:r>
      <w:r>
        <w:rPr>
          <w:rFonts w:ascii="宋体"/>
          <w:szCs w:val="24"/>
        </w:rPr>
        <w:t>48</w:t>
      </w:r>
      <w:r>
        <w:rPr>
          <w:rFonts w:ascii="宋体" w:hint="eastAsia"/>
          <w:szCs w:val="24"/>
        </w:rPr>
        <w:t>小时内必须到达医院，并设法排除故障。</w:t>
      </w:r>
    </w:p>
    <w:p w:rsidR="00914B3F" w:rsidRDefault="00914B3F">
      <w:pPr>
        <w:rPr>
          <w:rFonts w:ascii="宋体"/>
        </w:rPr>
      </w:pPr>
    </w:p>
    <w:sectPr w:rsidR="00914B3F">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8F" w:rsidRDefault="00A0428F">
      <w:pPr>
        <w:spacing w:line="240" w:lineRule="auto"/>
      </w:pPr>
      <w:r>
        <w:separator/>
      </w:r>
    </w:p>
  </w:endnote>
  <w:endnote w:type="continuationSeparator" w:id="0">
    <w:p w:rsidR="00A0428F" w:rsidRDefault="00A04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77760"/>
    </w:sdtPr>
    <w:sdtEndPr/>
    <w:sdtContent>
      <w:p w:rsidR="00914B3F" w:rsidRDefault="00F31EA5">
        <w:pPr>
          <w:pStyle w:val="a6"/>
          <w:jc w:val="center"/>
        </w:pPr>
        <w:r>
          <w:fldChar w:fldCharType="begin"/>
        </w:r>
        <w:r>
          <w:instrText>PAGE   \* MERGEFORMAT</w:instrText>
        </w:r>
        <w:r>
          <w:fldChar w:fldCharType="separate"/>
        </w:r>
        <w:r w:rsidR="00F66B2B" w:rsidRPr="00F66B2B">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8F" w:rsidRDefault="00A0428F">
      <w:r>
        <w:separator/>
      </w:r>
    </w:p>
  </w:footnote>
  <w:footnote w:type="continuationSeparator" w:id="0">
    <w:p w:rsidR="00A0428F" w:rsidRDefault="00A04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835"/>
        </w:tabs>
        <w:ind w:left="835" w:hanging="360"/>
      </w:pPr>
    </w:lvl>
    <w:lvl w:ilvl="1">
      <w:start w:val="1"/>
      <w:numFmt w:val="decimal"/>
      <w:lvlText w:val="（%2）"/>
      <w:lvlJc w:val="left"/>
      <w:pPr>
        <w:tabs>
          <w:tab w:val="left" w:pos="1615"/>
        </w:tabs>
        <w:ind w:left="161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zc5ZDQ1YzVmYmI2ZjI0MDZiNmZjM2RiN2U4YzcifQ=="/>
  </w:docVars>
  <w:rsids>
    <w:rsidRoot w:val="005627D9"/>
    <w:rsid w:val="00080A9D"/>
    <w:rsid w:val="000F7BD1"/>
    <w:rsid w:val="001E16F7"/>
    <w:rsid w:val="003348A4"/>
    <w:rsid w:val="005627D9"/>
    <w:rsid w:val="005D4AD8"/>
    <w:rsid w:val="0064464F"/>
    <w:rsid w:val="0065793A"/>
    <w:rsid w:val="00841BB6"/>
    <w:rsid w:val="008452F7"/>
    <w:rsid w:val="00914B3F"/>
    <w:rsid w:val="009C521A"/>
    <w:rsid w:val="00A0428F"/>
    <w:rsid w:val="00AD264C"/>
    <w:rsid w:val="00B36DBE"/>
    <w:rsid w:val="00CA0E4A"/>
    <w:rsid w:val="00E16AEA"/>
    <w:rsid w:val="00EC0349"/>
    <w:rsid w:val="00F31EA5"/>
    <w:rsid w:val="00F50A73"/>
    <w:rsid w:val="00F66B2B"/>
    <w:rsid w:val="04B17283"/>
    <w:rsid w:val="080C1C00"/>
    <w:rsid w:val="08FE4EA1"/>
    <w:rsid w:val="0F307AB2"/>
    <w:rsid w:val="137F010F"/>
    <w:rsid w:val="1562473D"/>
    <w:rsid w:val="16A15A6D"/>
    <w:rsid w:val="2329689A"/>
    <w:rsid w:val="256463E6"/>
    <w:rsid w:val="25A625CD"/>
    <w:rsid w:val="3E6434BC"/>
    <w:rsid w:val="43FA59B9"/>
    <w:rsid w:val="44A678F3"/>
    <w:rsid w:val="45302FC3"/>
    <w:rsid w:val="485713EF"/>
    <w:rsid w:val="48FC3BA1"/>
    <w:rsid w:val="56C2386A"/>
    <w:rsid w:val="58950BB6"/>
    <w:rsid w:val="5DAC73F4"/>
    <w:rsid w:val="5EDC1C8F"/>
    <w:rsid w:val="60163727"/>
    <w:rsid w:val="6203280C"/>
    <w:rsid w:val="62E63110"/>
    <w:rsid w:val="67EE5B24"/>
    <w:rsid w:val="6EB019C7"/>
    <w:rsid w:val="6F017CEE"/>
    <w:rsid w:val="7C23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39" w:unhideWhenUsed="0"/>
    <w:lsdException w:name="Placeholder Text" w:semiHidden="0" w:uiPriority="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4"/>
    </w:rPr>
  </w:style>
  <w:style w:type="paragraph" w:styleId="1">
    <w:name w:val="heading 1"/>
    <w:basedOn w:val="a"/>
    <w:next w:val="a"/>
    <w:uiPriority w:val="9"/>
    <w:qFormat/>
    <w:pPr>
      <w:keepNext/>
      <w:keepLines/>
      <w:spacing w:beforeLines="50" w:before="50" w:afterLines="50" w:after="50"/>
      <w:outlineLvl w:val="0"/>
    </w:pPr>
    <w:rPr>
      <w:b/>
      <w:bCs/>
      <w:kern w:val="44"/>
      <w:sz w:val="36"/>
      <w:szCs w:val="44"/>
    </w:rPr>
  </w:style>
  <w:style w:type="paragraph" w:styleId="2">
    <w:name w:val="heading 2"/>
    <w:basedOn w:val="a"/>
    <w:next w:val="a"/>
    <w:uiPriority w:val="9"/>
    <w:unhideWhenUsed/>
    <w:qFormat/>
    <w:pPr>
      <w:keepNext/>
      <w:keepLines/>
      <w:spacing w:before="120" w:after="120"/>
      <w:outlineLvl w:val="1"/>
    </w:pPr>
    <w:rPr>
      <w:rFonts w:ascii="Arial" w:hAnsi="Arial"/>
      <w:b/>
      <w:bCs/>
      <w:sz w:val="32"/>
      <w:szCs w:val="32"/>
    </w:rPr>
  </w:style>
  <w:style w:type="paragraph" w:styleId="3">
    <w:name w:val="heading 3"/>
    <w:basedOn w:val="a"/>
    <w:next w:val="a"/>
    <w:uiPriority w:val="9"/>
    <w:unhideWhenUsed/>
    <w:qFormat/>
    <w:pPr>
      <w:keepNext/>
      <w:keepLines/>
      <w:spacing w:beforeLines="50" w:before="50" w:afterLines="50" w:after="5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qFormat/>
    <w:pPr>
      <w:tabs>
        <w:tab w:val="left" w:pos="1176"/>
      </w:tabs>
      <w:ind w:firstLine="437"/>
    </w:pPr>
    <w:rPr>
      <w:rFonts w:ascii="等线" w:hAnsi="等线" w:cs="Arial"/>
      <w:szCs w:val="24"/>
    </w:rPr>
  </w:style>
  <w:style w:type="paragraph" w:styleId="30">
    <w:name w:val="toc 3"/>
    <w:basedOn w:val="a"/>
    <w:next w:val="a"/>
    <w:qFormat/>
    <w:pPr>
      <w:ind w:leftChars="400" w:left="400"/>
    </w:pPr>
  </w:style>
  <w:style w:type="paragraph" w:styleId="a5">
    <w:name w:val="Balloon Text"/>
    <w:basedOn w:val="a"/>
    <w:qFormat/>
    <w:pPr>
      <w:spacing w:line="240" w:lineRule="auto"/>
    </w:pPr>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200"/>
    </w:pPr>
  </w:style>
  <w:style w:type="paragraph" w:styleId="a8">
    <w:name w:val="Normal (Web)"/>
    <w:basedOn w:val="a"/>
    <w:qFormat/>
    <w:pPr>
      <w:widowControl/>
      <w:spacing w:before="100" w:beforeAutospacing="1" w:after="100" w:afterAutospacing="1" w:line="240" w:lineRule="auto"/>
      <w:jc w:val="left"/>
    </w:pPr>
    <w:rPr>
      <w:rFonts w:ascii="宋体" w:cs="宋体"/>
      <w:kern w:val="0"/>
      <w:szCs w:val="24"/>
    </w:rPr>
  </w:style>
  <w:style w:type="paragraph" w:styleId="a9">
    <w:name w:val="Body Text First Indent"/>
    <w:basedOn w:val="a3"/>
    <w:qFormat/>
    <w:pPr>
      <w:ind w:firstLineChars="100" w:firstLine="100"/>
    </w:pPr>
  </w:style>
  <w:style w:type="character" w:styleId="aa">
    <w:name w:val="Hyperlink"/>
    <w:basedOn w:val="a0"/>
    <w:qFormat/>
    <w:rPr>
      <w:color w:val="0563C1"/>
      <w:u w:val="single"/>
    </w:rPr>
  </w:style>
  <w:style w:type="character" w:customStyle="1" w:styleId="21">
    <w:name w:val="标题 2 字符"/>
    <w:basedOn w:val="a0"/>
    <w:rPr>
      <w:rFonts w:ascii="等线 Light" w:eastAsia="等线 Light" w:cs="Times New Roman"/>
      <w:b/>
      <w:bCs/>
      <w:sz w:val="32"/>
      <w:szCs w:val="32"/>
    </w:rPr>
  </w:style>
  <w:style w:type="character" w:customStyle="1" w:styleId="ab">
    <w:name w:val="正文文本缩进 字符"/>
    <w:basedOn w:val="a0"/>
    <w:qFormat/>
    <w:rPr>
      <w:rFonts w:ascii="Times New Roman" w:eastAsia="宋体" w:hAnsi="Times New Roman" w:cs="Times New Roman"/>
      <w:szCs w:val="20"/>
    </w:rPr>
  </w:style>
  <w:style w:type="paragraph" w:customStyle="1" w:styleId="TOC1">
    <w:name w:val="TOC 标题1"/>
    <w:basedOn w:val="1"/>
    <w:next w:val="a"/>
    <w:qFormat/>
    <w:pPr>
      <w:widowControl/>
      <w:spacing w:beforeLines="0" w:afterLines="0" w:line="259" w:lineRule="auto"/>
      <w:jc w:val="left"/>
      <w:outlineLvl w:val="9"/>
    </w:pPr>
    <w:rPr>
      <w:rFonts w:ascii="等线 Light" w:eastAsia="等线 Light"/>
      <w:b w:val="0"/>
      <w:bCs w:val="0"/>
      <w:color w:val="2F5496"/>
      <w:kern w:val="0"/>
      <w:szCs w:val="32"/>
    </w:rPr>
  </w:style>
  <w:style w:type="character" w:styleId="ac">
    <w:name w:val="Placeholder Text"/>
    <w:basedOn w:val="a0"/>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39" w:unhideWhenUsed="0"/>
    <w:lsdException w:name="Placeholder Text" w:semiHidden="0" w:uiPriority="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4"/>
    </w:rPr>
  </w:style>
  <w:style w:type="paragraph" w:styleId="1">
    <w:name w:val="heading 1"/>
    <w:basedOn w:val="a"/>
    <w:next w:val="a"/>
    <w:uiPriority w:val="9"/>
    <w:qFormat/>
    <w:pPr>
      <w:keepNext/>
      <w:keepLines/>
      <w:spacing w:beforeLines="50" w:before="50" w:afterLines="50" w:after="50"/>
      <w:outlineLvl w:val="0"/>
    </w:pPr>
    <w:rPr>
      <w:b/>
      <w:bCs/>
      <w:kern w:val="44"/>
      <w:sz w:val="36"/>
      <w:szCs w:val="44"/>
    </w:rPr>
  </w:style>
  <w:style w:type="paragraph" w:styleId="2">
    <w:name w:val="heading 2"/>
    <w:basedOn w:val="a"/>
    <w:next w:val="a"/>
    <w:uiPriority w:val="9"/>
    <w:unhideWhenUsed/>
    <w:qFormat/>
    <w:pPr>
      <w:keepNext/>
      <w:keepLines/>
      <w:spacing w:before="120" w:after="120"/>
      <w:outlineLvl w:val="1"/>
    </w:pPr>
    <w:rPr>
      <w:rFonts w:ascii="Arial" w:hAnsi="Arial"/>
      <w:b/>
      <w:bCs/>
      <w:sz w:val="32"/>
      <w:szCs w:val="32"/>
    </w:rPr>
  </w:style>
  <w:style w:type="paragraph" w:styleId="3">
    <w:name w:val="heading 3"/>
    <w:basedOn w:val="a"/>
    <w:next w:val="a"/>
    <w:uiPriority w:val="9"/>
    <w:unhideWhenUsed/>
    <w:qFormat/>
    <w:pPr>
      <w:keepNext/>
      <w:keepLines/>
      <w:spacing w:beforeLines="50" w:before="50" w:afterLines="50" w:after="5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qFormat/>
    <w:pPr>
      <w:tabs>
        <w:tab w:val="left" w:pos="1176"/>
      </w:tabs>
      <w:ind w:firstLine="437"/>
    </w:pPr>
    <w:rPr>
      <w:rFonts w:ascii="等线" w:hAnsi="等线" w:cs="Arial"/>
      <w:szCs w:val="24"/>
    </w:rPr>
  </w:style>
  <w:style w:type="paragraph" w:styleId="30">
    <w:name w:val="toc 3"/>
    <w:basedOn w:val="a"/>
    <w:next w:val="a"/>
    <w:qFormat/>
    <w:pPr>
      <w:ind w:leftChars="400" w:left="400"/>
    </w:pPr>
  </w:style>
  <w:style w:type="paragraph" w:styleId="a5">
    <w:name w:val="Balloon Text"/>
    <w:basedOn w:val="a"/>
    <w:qFormat/>
    <w:pPr>
      <w:spacing w:line="240" w:lineRule="auto"/>
    </w:pPr>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200"/>
    </w:pPr>
  </w:style>
  <w:style w:type="paragraph" w:styleId="a8">
    <w:name w:val="Normal (Web)"/>
    <w:basedOn w:val="a"/>
    <w:qFormat/>
    <w:pPr>
      <w:widowControl/>
      <w:spacing w:before="100" w:beforeAutospacing="1" w:after="100" w:afterAutospacing="1" w:line="240" w:lineRule="auto"/>
      <w:jc w:val="left"/>
    </w:pPr>
    <w:rPr>
      <w:rFonts w:ascii="宋体" w:cs="宋体"/>
      <w:kern w:val="0"/>
      <w:szCs w:val="24"/>
    </w:rPr>
  </w:style>
  <w:style w:type="paragraph" w:styleId="a9">
    <w:name w:val="Body Text First Indent"/>
    <w:basedOn w:val="a3"/>
    <w:qFormat/>
    <w:pPr>
      <w:ind w:firstLineChars="100" w:firstLine="100"/>
    </w:pPr>
  </w:style>
  <w:style w:type="character" w:styleId="aa">
    <w:name w:val="Hyperlink"/>
    <w:basedOn w:val="a0"/>
    <w:qFormat/>
    <w:rPr>
      <w:color w:val="0563C1"/>
      <w:u w:val="single"/>
    </w:rPr>
  </w:style>
  <w:style w:type="character" w:customStyle="1" w:styleId="21">
    <w:name w:val="标题 2 字符"/>
    <w:basedOn w:val="a0"/>
    <w:rPr>
      <w:rFonts w:ascii="等线 Light" w:eastAsia="等线 Light" w:cs="Times New Roman"/>
      <w:b/>
      <w:bCs/>
      <w:sz w:val="32"/>
      <w:szCs w:val="32"/>
    </w:rPr>
  </w:style>
  <w:style w:type="character" w:customStyle="1" w:styleId="ab">
    <w:name w:val="正文文本缩进 字符"/>
    <w:basedOn w:val="a0"/>
    <w:qFormat/>
    <w:rPr>
      <w:rFonts w:ascii="Times New Roman" w:eastAsia="宋体" w:hAnsi="Times New Roman" w:cs="Times New Roman"/>
      <w:szCs w:val="20"/>
    </w:rPr>
  </w:style>
  <w:style w:type="paragraph" w:customStyle="1" w:styleId="TOC1">
    <w:name w:val="TOC 标题1"/>
    <w:basedOn w:val="1"/>
    <w:next w:val="a"/>
    <w:qFormat/>
    <w:pPr>
      <w:widowControl/>
      <w:spacing w:beforeLines="0" w:afterLines="0" w:line="259" w:lineRule="auto"/>
      <w:jc w:val="left"/>
      <w:outlineLvl w:val="9"/>
    </w:pPr>
    <w:rPr>
      <w:rFonts w:ascii="等线 Light" w:eastAsia="等线 Light"/>
      <w:b w:val="0"/>
      <w:bCs w:val="0"/>
      <w:color w:val="2F5496"/>
      <w:kern w:val="0"/>
      <w:szCs w:val="32"/>
    </w:rPr>
  </w:style>
  <w:style w:type="character" w:styleId="ac">
    <w:name w:val="Placeholder Text"/>
    <w:basedOn w:val="a0"/>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12</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李春青</dc:creator>
  <cp:lastModifiedBy>hp</cp:lastModifiedBy>
  <cp:revision>16</cp:revision>
  <dcterms:created xsi:type="dcterms:W3CDTF">2021-05-23T17:24:00Z</dcterms:created>
  <dcterms:modified xsi:type="dcterms:W3CDTF">2022-05-25T03:09:00Z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899A6DB647F7416A9764C540EBD91A59</vt:lpwstr>
  </property>
</Properties>
</file>