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166"/>
        <w:gridCol w:w="1558"/>
        <w:gridCol w:w="4304"/>
      </w:tblGrid>
      <w:tr w:rsidR="004E5AAA" w:rsidRPr="006A5565" w:rsidTr="00C178C5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91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D52B37" w:rsidRPr="006A5565" w:rsidTr="005E06C7">
        <w:trPr>
          <w:trHeight w:val="3886"/>
        </w:trPr>
        <w:tc>
          <w:tcPr>
            <w:tcW w:w="290" w:type="pct"/>
            <w:vAlign w:val="center"/>
          </w:tcPr>
          <w:p w:rsidR="00D52B37" w:rsidRPr="000F67C7" w:rsidRDefault="00D52B37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D52B37" w:rsidRPr="00450EE5" w:rsidRDefault="00D52B37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卵圆孔未闭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封堵器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D52B37" w:rsidRPr="00CD1780" w:rsidRDefault="00D52B37" w:rsidP="00CD1780">
            <w:pPr>
              <w:pStyle w:val="a6"/>
              <w:spacing w:before="0" w:after="0"/>
              <w:jc w:val="center"/>
              <w:rPr>
                <w:color w:val="000000"/>
                <w:kern w:val="2"/>
                <w:sz w:val="21"/>
                <w:szCs w:val="18"/>
              </w:rPr>
            </w:pPr>
            <w:r>
              <w:rPr>
                <w:rFonts w:hint="eastAsia"/>
                <w:color w:val="000000"/>
                <w:kern w:val="2"/>
                <w:sz w:val="21"/>
                <w:szCs w:val="18"/>
              </w:rPr>
              <w:t>左房：φ18mm</w:t>
            </w:r>
            <w:r>
              <w:rPr>
                <w:color w:val="000000"/>
                <w:kern w:val="2"/>
                <w:sz w:val="21"/>
                <w:szCs w:val="18"/>
              </w:rPr>
              <w:br/>
              <w:t>右房：φ</w:t>
            </w:r>
            <w:r>
              <w:rPr>
                <w:rFonts w:hint="eastAsia"/>
                <w:color w:val="000000"/>
                <w:kern w:val="2"/>
                <w:sz w:val="21"/>
                <w:szCs w:val="18"/>
              </w:rPr>
              <w:t>18mm-35mm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D52B37" w:rsidRPr="00C178C5" w:rsidRDefault="00D52B37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用于</w:t>
            </w:r>
            <w:r w:rsidRPr="00C178C5">
              <w:rPr>
                <w:rFonts w:ascii="宋体" w:eastAsia="宋体" w:hAnsi="宋体" w:cs="宋体"/>
                <w:color w:val="000000"/>
                <w:szCs w:val="18"/>
              </w:rPr>
              <w:t>卵圆孔未闭患者有中风或短暂性脑缺血发作</w:t>
            </w:r>
            <w:proofErr w:type="gramStart"/>
            <w:r w:rsidRPr="00C178C5">
              <w:rPr>
                <w:rFonts w:ascii="宋体" w:eastAsia="宋体" w:hAnsi="宋体" w:cs="宋体"/>
                <w:color w:val="000000"/>
                <w:szCs w:val="18"/>
              </w:rPr>
              <w:t>史而且</w:t>
            </w:r>
            <w:proofErr w:type="gramEnd"/>
            <w:r w:rsidRPr="00C178C5">
              <w:rPr>
                <w:rFonts w:ascii="宋体" w:eastAsia="宋体" w:hAnsi="宋体" w:cs="宋体"/>
                <w:color w:val="000000"/>
                <w:szCs w:val="18"/>
              </w:rPr>
              <w:t>通过心超心动图诊断时右向左分流患者的卵圆孔未闭。</w:t>
            </w:r>
          </w:p>
          <w:p w:rsidR="00D52B37" w:rsidRDefault="00D52B37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卵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圆孔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未闭及小型房间隔缺损的封堵需求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D52B37" w:rsidRDefault="00D52B37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一些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特殊先天性心脏或血管畸形的封堵需求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D52B37" w:rsidRDefault="00D52B37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满足病人损伤最小化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、安全及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利益最大化要求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D52B37" w:rsidRPr="00D52B37" w:rsidRDefault="00D52B37" w:rsidP="00D52B37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9475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符合国家医疗器械分类管理的相关规定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C9027D" w:rsidRPr="003D0E29" w:rsidRDefault="00C178C5" w:rsidP="003D0E29">
      <w:pPr>
        <w:jc w:val="center"/>
        <w:rPr>
          <w:b/>
          <w:sz w:val="28"/>
        </w:rPr>
      </w:pPr>
      <w:r w:rsidRPr="00C178C5">
        <w:rPr>
          <w:rFonts w:hint="eastAsia"/>
          <w:b/>
          <w:sz w:val="28"/>
        </w:rPr>
        <w:t>卵圆孔未闭</w:t>
      </w:r>
      <w:r w:rsidRPr="00C178C5">
        <w:rPr>
          <w:b/>
          <w:sz w:val="28"/>
        </w:rPr>
        <w:t>封堵器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30" w:rsidRDefault="00513F30" w:rsidP="006A5565">
      <w:r>
        <w:separator/>
      </w:r>
    </w:p>
  </w:endnote>
  <w:endnote w:type="continuationSeparator" w:id="0">
    <w:p w:rsidR="00513F30" w:rsidRDefault="00513F30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30" w:rsidRDefault="00513F30" w:rsidP="006A5565">
      <w:r>
        <w:separator/>
      </w:r>
    </w:p>
  </w:footnote>
  <w:footnote w:type="continuationSeparator" w:id="0">
    <w:p w:rsidR="00513F30" w:rsidRDefault="00513F30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030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36E3D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13F30"/>
    <w:rsid w:val="00545BBE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3399C"/>
    <w:rsid w:val="0066039D"/>
    <w:rsid w:val="006A5565"/>
    <w:rsid w:val="006D0EA4"/>
    <w:rsid w:val="006E7EFF"/>
    <w:rsid w:val="006F0AAF"/>
    <w:rsid w:val="00705EFA"/>
    <w:rsid w:val="00712C3C"/>
    <w:rsid w:val="007254B6"/>
    <w:rsid w:val="00747507"/>
    <w:rsid w:val="00750C63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54571"/>
    <w:rsid w:val="00887B72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10A04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957E6"/>
    <w:rsid w:val="00BC2BDF"/>
    <w:rsid w:val="00BF1264"/>
    <w:rsid w:val="00C00344"/>
    <w:rsid w:val="00C04FD2"/>
    <w:rsid w:val="00C178C5"/>
    <w:rsid w:val="00C9027D"/>
    <w:rsid w:val="00CB46F5"/>
    <w:rsid w:val="00CC2D54"/>
    <w:rsid w:val="00CD1780"/>
    <w:rsid w:val="00CD4620"/>
    <w:rsid w:val="00D0051D"/>
    <w:rsid w:val="00D47063"/>
    <w:rsid w:val="00D50618"/>
    <w:rsid w:val="00D52B37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E4EC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76D26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D1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D1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</cp:lastModifiedBy>
  <cp:revision>6</cp:revision>
  <cp:lastPrinted>2021-01-22T06:25:00Z</cp:lastPrinted>
  <dcterms:created xsi:type="dcterms:W3CDTF">2022-07-19T03:15:00Z</dcterms:created>
  <dcterms:modified xsi:type="dcterms:W3CDTF">2022-07-28T06:25:00Z</dcterms:modified>
</cp:coreProperties>
</file>