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5C" w:rsidRDefault="00D55313">
      <w:pPr>
        <w:pStyle w:val="a7"/>
        <w:widowControl/>
        <w:spacing w:beforeAutospacing="0" w:afterAutospacing="0" w:line="27" w:lineRule="atLeast"/>
        <w:textAlignment w:val="baseline"/>
        <w:rPr>
          <w:rFonts w:ascii="华文楷体" w:eastAsia="华文楷体" w:hAnsi="华文楷体" w:cs="华文楷体"/>
          <w:color w:val="333333"/>
        </w:rPr>
      </w:pPr>
      <w:r>
        <w:rPr>
          <w:rFonts w:ascii="华文楷体" w:eastAsia="华文楷体" w:hAnsi="华文楷体" w:cs="华文楷体" w:hint="eastAsia"/>
          <w:color w:val="333333"/>
        </w:rPr>
        <w:t>附件1:</w:t>
      </w:r>
    </w:p>
    <w:p w:rsidR="00981C5C" w:rsidRDefault="00D55313">
      <w:pPr>
        <w:pStyle w:val="a7"/>
        <w:widowControl/>
        <w:spacing w:beforeAutospacing="0" w:afterAutospacing="0" w:line="27" w:lineRule="atLeast"/>
        <w:jc w:val="center"/>
        <w:textAlignment w:val="baseline"/>
        <w:rPr>
          <w:rFonts w:ascii="华文楷体" w:eastAsia="华文楷体" w:hAnsi="华文楷体" w:cs="华文楷体"/>
          <w:color w:val="333333"/>
        </w:rPr>
      </w:pPr>
      <w:r>
        <w:rPr>
          <w:rFonts w:ascii="华文楷体" w:eastAsia="华文楷体" w:hAnsi="华文楷体" w:cs="华文楷体" w:hint="eastAsia"/>
          <w:color w:val="333333"/>
          <w:sz w:val="44"/>
          <w:szCs w:val="44"/>
        </w:rPr>
        <w:t>采购需求</w:t>
      </w:r>
    </w:p>
    <w:p w:rsidR="00981C5C" w:rsidRDefault="00D55313">
      <w:pPr>
        <w:pStyle w:val="a7"/>
        <w:widowControl/>
        <w:numPr>
          <w:ilvl w:val="0"/>
          <w:numId w:val="1"/>
        </w:numPr>
        <w:spacing w:beforeAutospacing="0" w:afterAutospacing="0" w:line="27" w:lineRule="atLeast"/>
        <w:textAlignment w:val="baseline"/>
        <w:rPr>
          <w:rFonts w:ascii="仿宋" w:eastAsia="仿宋" w:hAnsi="仿宋" w:cs="仿宋"/>
          <w:b/>
          <w:bCs/>
          <w:spacing w:val="-8"/>
          <w:w w:val="95"/>
          <w:kern w:val="2"/>
          <w:sz w:val="21"/>
          <w:szCs w:val="21"/>
        </w:rPr>
      </w:pPr>
      <w:r>
        <w:rPr>
          <w:rFonts w:ascii="仿宋" w:eastAsia="仿宋" w:hAnsi="仿宋" w:cs="仿宋" w:hint="eastAsia"/>
          <w:b/>
          <w:bCs/>
          <w:spacing w:val="-8"/>
          <w:w w:val="95"/>
          <w:kern w:val="2"/>
          <w:sz w:val="21"/>
          <w:szCs w:val="21"/>
        </w:rPr>
        <w:t>资质要求</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1）项目负责人：具有</w:t>
      </w:r>
      <w:r>
        <w:rPr>
          <w:rStyle w:val="NormalCharacter"/>
          <w:rFonts w:ascii="仿宋" w:eastAsia="仿宋" w:hAnsi="仿宋" w:cs="仿宋" w:hint="eastAsia"/>
          <w:b w:val="0"/>
          <w:sz w:val="21"/>
          <w:szCs w:val="21"/>
        </w:rPr>
        <w:t>国家一</w:t>
      </w:r>
      <w:r>
        <w:rPr>
          <w:rStyle w:val="NormalCharacter"/>
          <w:rFonts w:ascii="仿宋" w:eastAsia="仿宋" w:hAnsi="仿宋" w:cs="仿宋" w:hint="eastAsia"/>
          <w:b w:val="0"/>
          <w:spacing w:val="-5"/>
          <w:sz w:val="21"/>
          <w:szCs w:val="21"/>
        </w:rPr>
        <w:t>级注册</w:t>
      </w:r>
      <w:r>
        <w:rPr>
          <w:rStyle w:val="NormalCharacter"/>
          <w:rFonts w:ascii="仿宋" w:eastAsia="仿宋" w:hAnsi="仿宋" w:cs="仿宋" w:hint="eastAsia"/>
          <w:b w:val="0"/>
          <w:sz w:val="21"/>
          <w:szCs w:val="21"/>
        </w:rPr>
        <w:t>消防工程</w:t>
      </w:r>
      <w:r>
        <w:rPr>
          <w:rStyle w:val="NormalCharacter"/>
          <w:rFonts w:ascii="仿宋" w:eastAsia="仿宋" w:hAnsi="仿宋" w:cs="仿宋" w:hint="eastAsia"/>
          <w:b w:val="0"/>
          <w:spacing w:val="-5"/>
          <w:sz w:val="21"/>
          <w:szCs w:val="21"/>
        </w:rPr>
        <w:t>师证书</w:t>
      </w:r>
      <w:r>
        <w:rPr>
          <w:rFonts w:ascii="仿宋" w:eastAsia="仿宋" w:hAnsi="仿宋" w:cs="仿宋" w:hint="eastAsia"/>
          <w:spacing w:val="-8"/>
          <w:w w:val="95"/>
          <w:szCs w:val="21"/>
          <w:lang w:val="zh-CN"/>
        </w:rPr>
        <w:t>，有5年及以上工作经验。</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2）</w:t>
      </w:r>
      <w:r>
        <w:rPr>
          <w:rFonts w:ascii="仿宋" w:eastAsia="仿宋" w:hAnsi="仿宋" w:cs="仿宋" w:hint="eastAsia"/>
          <w:spacing w:val="-8"/>
          <w:w w:val="95"/>
          <w:szCs w:val="21"/>
        </w:rPr>
        <w:t>技术负责人：</w:t>
      </w:r>
      <w:r>
        <w:rPr>
          <w:rFonts w:ascii="仿宋" w:eastAsia="仿宋" w:hAnsi="仿宋" w:cs="仿宋" w:hint="eastAsia"/>
          <w:spacing w:val="-8"/>
          <w:w w:val="95"/>
          <w:szCs w:val="21"/>
          <w:lang w:val="zh-CN"/>
        </w:rPr>
        <w:t>具有</w:t>
      </w:r>
      <w:r>
        <w:rPr>
          <w:rStyle w:val="NormalCharacter"/>
          <w:rFonts w:ascii="仿宋" w:eastAsia="仿宋" w:hAnsi="仿宋" w:cs="仿宋" w:hint="eastAsia"/>
          <w:b w:val="0"/>
          <w:sz w:val="21"/>
          <w:szCs w:val="21"/>
        </w:rPr>
        <w:t>国家一</w:t>
      </w:r>
      <w:r>
        <w:rPr>
          <w:rStyle w:val="NormalCharacter"/>
          <w:rFonts w:ascii="仿宋" w:eastAsia="仿宋" w:hAnsi="仿宋" w:cs="仿宋" w:hint="eastAsia"/>
          <w:b w:val="0"/>
          <w:spacing w:val="-5"/>
          <w:sz w:val="21"/>
          <w:szCs w:val="21"/>
        </w:rPr>
        <w:t>级注册</w:t>
      </w:r>
      <w:r>
        <w:rPr>
          <w:rStyle w:val="NormalCharacter"/>
          <w:rFonts w:ascii="仿宋" w:eastAsia="仿宋" w:hAnsi="仿宋" w:cs="仿宋" w:hint="eastAsia"/>
          <w:b w:val="0"/>
          <w:sz w:val="21"/>
          <w:szCs w:val="21"/>
        </w:rPr>
        <w:t>消防工程</w:t>
      </w:r>
      <w:r>
        <w:rPr>
          <w:rStyle w:val="NormalCharacter"/>
          <w:rFonts w:ascii="仿宋" w:eastAsia="仿宋" w:hAnsi="仿宋" w:cs="仿宋" w:hint="eastAsia"/>
          <w:b w:val="0"/>
          <w:spacing w:val="-5"/>
          <w:sz w:val="21"/>
          <w:szCs w:val="21"/>
        </w:rPr>
        <w:t>师证书</w:t>
      </w:r>
      <w:r>
        <w:rPr>
          <w:rFonts w:ascii="仿宋" w:eastAsia="仿宋" w:hAnsi="仿宋" w:cs="仿宋" w:hint="eastAsia"/>
          <w:spacing w:val="-8"/>
          <w:w w:val="95"/>
          <w:szCs w:val="21"/>
          <w:lang w:val="zh-CN"/>
        </w:rPr>
        <w:t>，有5年及以上工作经验。</w:t>
      </w:r>
    </w:p>
    <w:p w:rsidR="00981C5C" w:rsidRDefault="00D55313" w:rsidP="006167FC">
      <w:pPr>
        <w:rPr>
          <w:rFonts w:ascii="仿宋" w:eastAsia="仿宋" w:hAnsi="仿宋" w:cs="仿宋"/>
          <w:spacing w:val="-8"/>
          <w:w w:val="95"/>
          <w:szCs w:val="21"/>
          <w:lang w:val="zh-CN"/>
        </w:rPr>
      </w:pPr>
      <w:r>
        <w:rPr>
          <w:rFonts w:ascii="仿宋" w:eastAsia="仿宋" w:hAnsi="仿宋" w:cs="仿宋" w:hint="eastAsia"/>
          <w:spacing w:val="-8"/>
          <w:w w:val="95"/>
          <w:szCs w:val="21"/>
          <w:lang w:val="zh-CN"/>
        </w:rPr>
        <w:t>3）消防设施检测技术人员应</w:t>
      </w:r>
      <w:r>
        <w:rPr>
          <w:rFonts w:ascii="仿宋" w:eastAsia="仿宋" w:hAnsi="仿宋" w:cs="仿宋" w:hint="eastAsia"/>
          <w:spacing w:val="-8"/>
          <w:w w:val="95"/>
          <w:szCs w:val="21"/>
        </w:rPr>
        <w:t>至少</w:t>
      </w:r>
      <w:r>
        <w:rPr>
          <w:rFonts w:ascii="仿宋" w:eastAsia="仿宋" w:hAnsi="仿宋" w:cs="仿宋" w:hint="eastAsia"/>
          <w:spacing w:val="-8"/>
          <w:w w:val="95"/>
          <w:szCs w:val="21"/>
          <w:lang w:val="zh-CN"/>
        </w:rPr>
        <w:t>具有</w:t>
      </w:r>
      <w:r>
        <w:rPr>
          <w:rFonts w:ascii="仿宋" w:eastAsia="仿宋" w:hAnsi="仿宋" w:cs="仿宋" w:hint="eastAsia"/>
          <w:spacing w:val="-8"/>
          <w:w w:val="95"/>
          <w:szCs w:val="21"/>
        </w:rPr>
        <w:t>1名</w:t>
      </w:r>
      <w:r>
        <w:rPr>
          <w:rStyle w:val="NormalCharacter"/>
          <w:rFonts w:ascii="仿宋" w:eastAsia="仿宋" w:hAnsi="仿宋" w:cs="仿宋" w:hint="eastAsia"/>
          <w:b w:val="0"/>
          <w:sz w:val="21"/>
          <w:szCs w:val="21"/>
        </w:rPr>
        <w:t>中级及以上建（构）筑物消防员或具有注册消防工程师资格</w:t>
      </w:r>
      <w:r>
        <w:rPr>
          <w:rFonts w:ascii="仿宋" w:eastAsia="仿宋" w:hAnsi="仿宋" w:cs="仿宋" w:hint="eastAsia"/>
          <w:spacing w:val="-8"/>
          <w:w w:val="95"/>
          <w:szCs w:val="21"/>
          <w:lang w:val="zh-CN"/>
        </w:rPr>
        <w:t>，从事消防设施检测5年及以上工作经验，</w:t>
      </w:r>
      <w:r>
        <w:rPr>
          <w:rFonts w:ascii="仿宋" w:eastAsia="仿宋" w:hAnsi="仿宋" w:cs="仿宋" w:hint="eastAsia"/>
          <w:spacing w:val="-8"/>
          <w:w w:val="95"/>
          <w:szCs w:val="21"/>
        </w:rPr>
        <w:t>且人数不少于3名</w:t>
      </w:r>
      <w:r>
        <w:rPr>
          <w:rFonts w:ascii="仿宋" w:eastAsia="仿宋" w:hAnsi="仿宋" w:cs="仿宋" w:hint="eastAsia"/>
          <w:spacing w:val="-8"/>
          <w:w w:val="95"/>
          <w:szCs w:val="21"/>
          <w:lang w:val="zh-CN"/>
        </w:rPr>
        <w:t>。</w:t>
      </w:r>
    </w:p>
    <w:p w:rsidR="00981C5C" w:rsidRDefault="00D55313">
      <w:pPr>
        <w:pStyle w:val="a0"/>
        <w:ind w:firstLine="0"/>
        <w:rPr>
          <w:rFonts w:ascii="仿宋" w:eastAsia="仿宋" w:hAnsi="仿宋" w:cs="仿宋"/>
          <w:b/>
          <w:bCs/>
          <w:spacing w:val="-8"/>
          <w:w w:val="95"/>
          <w:sz w:val="21"/>
          <w:szCs w:val="21"/>
          <w:lang w:val="en-US"/>
        </w:rPr>
      </w:pPr>
      <w:r>
        <w:rPr>
          <w:rFonts w:ascii="仿宋" w:eastAsia="仿宋" w:hAnsi="仿宋" w:cs="仿宋" w:hint="eastAsia"/>
          <w:b/>
          <w:bCs/>
          <w:spacing w:val="-8"/>
          <w:w w:val="95"/>
          <w:sz w:val="21"/>
          <w:szCs w:val="21"/>
          <w:lang w:val="en-US"/>
        </w:rPr>
        <w:t>二、采购内容：</w:t>
      </w:r>
    </w:p>
    <w:p w:rsidR="00981C5C" w:rsidRDefault="00D55313" w:rsidP="000C164C">
      <w:pPr>
        <w:spacing w:line="360" w:lineRule="auto"/>
        <w:ind w:firstLineChars="200" w:firstLine="365"/>
        <w:rPr>
          <w:rFonts w:ascii="仿宋" w:eastAsia="仿宋" w:hAnsi="仿宋" w:cs="仿宋"/>
          <w:spacing w:val="-8"/>
          <w:w w:val="95"/>
          <w:szCs w:val="21"/>
          <w:lang w:val="zh-CN"/>
        </w:rPr>
      </w:pPr>
      <w:r>
        <w:rPr>
          <w:rFonts w:ascii="仿宋" w:eastAsia="仿宋" w:hAnsi="仿宋" w:cs="仿宋" w:hint="eastAsia"/>
          <w:spacing w:val="-8"/>
          <w:w w:val="95"/>
          <w:szCs w:val="21"/>
          <w:lang w:val="zh-CN"/>
        </w:rPr>
        <w:t>严格依据国家法律法规、国家工程建设消防技术标准和省、市有关规定，供应商对浙大儿院</w:t>
      </w:r>
      <w:r>
        <w:rPr>
          <w:rFonts w:ascii="仿宋" w:eastAsia="仿宋" w:hAnsi="仿宋" w:cs="仿宋" w:hint="eastAsia"/>
          <w:spacing w:val="-8"/>
          <w:w w:val="95"/>
          <w:szCs w:val="21"/>
        </w:rPr>
        <w:t>滨江二期扩建工程项目及突发公共卫生事件处理中心改造工程</w:t>
      </w:r>
      <w:r>
        <w:rPr>
          <w:rFonts w:ascii="仿宋" w:eastAsia="仿宋" w:hAnsi="仿宋" w:cs="仿宋" w:hint="eastAsia"/>
          <w:spacing w:val="-8"/>
          <w:w w:val="95"/>
          <w:szCs w:val="21"/>
          <w:lang w:val="zh-CN"/>
        </w:rPr>
        <w:t>项目，开展</w:t>
      </w:r>
      <w:r>
        <w:rPr>
          <w:rFonts w:ascii="仿宋" w:eastAsia="仿宋" w:hAnsi="仿宋" w:cs="仿宋" w:hint="eastAsia"/>
          <w:spacing w:val="-8"/>
          <w:w w:val="95"/>
          <w:szCs w:val="21"/>
        </w:rPr>
        <w:t>图纸及资料核查服务、</w:t>
      </w:r>
      <w:r>
        <w:rPr>
          <w:rFonts w:ascii="仿宋" w:eastAsia="仿宋" w:hAnsi="仿宋" w:cs="仿宋" w:hint="eastAsia"/>
          <w:spacing w:val="-8"/>
          <w:w w:val="95"/>
          <w:szCs w:val="21"/>
          <w:lang w:val="zh-CN"/>
        </w:rPr>
        <w:t>消防设施检测服务、整改监督服务等</w:t>
      </w:r>
      <w:r>
        <w:rPr>
          <w:rFonts w:ascii="仿宋" w:eastAsia="仿宋" w:hAnsi="仿宋" w:cs="仿宋" w:hint="eastAsia"/>
          <w:spacing w:val="-8"/>
          <w:w w:val="95"/>
          <w:szCs w:val="21"/>
        </w:rPr>
        <w:t>项目消防验收前一切前提</w:t>
      </w:r>
      <w:r>
        <w:rPr>
          <w:rFonts w:ascii="仿宋" w:eastAsia="仿宋" w:hAnsi="仿宋" w:cs="仿宋" w:hint="eastAsia"/>
          <w:spacing w:val="-8"/>
          <w:w w:val="95"/>
          <w:szCs w:val="21"/>
          <w:lang w:val="zh-CN"/>
        </w:rPr>
        <w:t>工作。</w:t>
      </w:r>
      <w:r>
        <w:rPr>
          <w:rFonts w:ascii="仿宋" w:eastAsia="仿宋" w:hAnsi="仿宋" w:cs="仿宋" w:hint="eastAsia"/>
          <w:spacing w:val="-8"/>
          <w:w w:val="95"/>
          <w:szCs w:val="21"/>
        </w:rPr>
        <w:t>根据</w:t>
      </w:r>
      <w:r>
        <w:rPr>
          <w:rFonts w:ascii="仿宋" w:eastAsia="仿宋" w:hAnsi="仿宋" w:cs="仿宋" w:hint="eastAsia"/>
          <w:spacing w:val="-8"/>
          <w:w w:val="95"/>
          <w:szCs w:val="21"/>
          <w:lang w:val="zh-CN"/>
        </w:rPr>
        <w:t>现有消防设施和电气线路，按《消防法》</w:t>
      </w:r>
      <w:r>
        <w:rPr>
          <w:rFonts w:ascii="仿宋" w:eastAsia="仿宋" w:hAnsi="仿宋" w:cs="仿宋" w:hint="eastAsia"/>
          <w:spacing w:val="-8"/>
          <w:w w:val="95"/>
          <w:szCs w:val="21"/>
        </w:rPr>
        <w:t>等法规</w:t>
      </w:r>
      <w:r>
        <w:rPr>
          <w:rFonts w:ascii="仿宋" w:eastAsia="仿宋" w:hAnsi="仿宋" w:cs="仿宋" w:hint="eastAsia"/>
          <w:spacing w:val="-8"/>
          <w:w w:val="95"/>
          <w:szCs w:val="21"/>
          <w:lang w:val="zh-CN"/>
        </w:rPr>
        <w:t>规定，要求分别</w:t>
      </w:r>
      <w:r>
        <w:rPr>
          <w:rFonts w:ascii="仿宋" w:eastAsia="仿宋" w:hAnsi="仿宋" w:cs="仿宋" w:hint="eastAsia"/>
          <w:spacing w:val="-8"/>
          <w:w w:val="95"/>
          <w:szCs w:val="21"/>
        </w:rPr>
        <w:t>对两个项目</w:t>
      </w:r>
      <w:r>
        <w:rPr>
          <w:rFonts w:ascii="仿宋" w:eastAsia="仿宋" w:hAnsi="仿宋" w:cs="仿宋" w:hint="eastAsia"/>
          <w:spacing w:val="-8"/>
          <w:w w:val="95"/>
          <w:szCs w:val="21"/>
          <w:lang w:val="zh-CN"/>
        </w:rPr>
        <w:t>进行消防设施及电气安全检测，对于存在的故障，问题提出整改意见，复检合格后</w:t>
      </w:r>
      <w:r>
        <w:rPr>
          <w:rFonts w:ascii="仿宋" w:eastAsia="仿宋" w:hAnsi="仿宋" w:cs="仿宋" w:hint="eastAsia"/>
          <w:spacing w:val="-8"/>
          <w:w w:val="95"/>
          <w:szCs w:val="21"/>
        </w:rPr>
        <w:t>两个项目分别</w:t>
      </w:r>
      <w:r>
        <w:rPr>
          <w:rFonts w:ascii="仿宋" w:eastAsia="仿宋" w:hAnsi="仿宋" w:cs="仿宋" w:hint="eastAsia"/>
          <w:spacing w:val="-8"/>
          <w:w w:val="95"/>
          <w:szCs w:val="21"/>
          <w:lang w:val="zh-CN"/>
        </w:rPr>
        <w:t>出具满足消防部门要求的《建筑消防设施检测报告》和《建筑电气安全检测报告》，并对出具的意见或报告负责。</w:t>
      </w:r>
    </w:p>
    <w:p w:rsidR="00AB4E92" w:rsidRPr="00AB4E92" w:rsidRDefault="00AB4E92" w:rsidP="00AB4E92">
      <w:pPr>
        <w:pStyle w:val="a0"/>
      </w:pP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2"/>
        <w:gridCol w:w="4272"/>
        <w:gridCol w:w="2266"/>
      </w:tblGrid>
      <w:tr w:rsidR="00981C5C" w:rsidTr="00AB4E92">
        <w:trPr>
          <w:trHeight w:val="466"/>
          <w:jc w:val="center"/>
        </w:trPr>
        <w:tc>
          <w:tcPr>
            <w:tcW w:w="1352" w:type="dxa"/>
            <w:noWrap/>
            <w:vAlign w:val="center"/>
          </w:tcPr>
          <w:p w:rsidR="00981C5C" w:rsidRDefault="00D55313">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序号</w:t>
            </w:r>
          </w:p>
        </w:tc>
        <w:tc>
          <w:tcPr>
            <w:tcW w:w="4272" w:type="dxa"/>
            <w:noWrap/>
            <w:vAlign w:val="center"/>
          </w:tcPr>
          <w:p w:rsidR="00981C5C" w:rsidRDefault="00D55313" w:rsidP="00DB6A45">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项目名称及数量</w:t>
            </w:r>
          </w:p>
        </w:tc>
        <w:tc>
          <w:tcPr>
            <w:tcW w:w="2266" w:type="dxa"/>
            <w:noWrap/>
            <w:vAlign w:val="center"/>
          </w:tcPr>
          <w:p w:rsidR="00981C5C" w:rsidRDefault="00D55313" w:rsidP="00DB6A45">
            <w:pP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建筑面积（m2）</w:t>
            </w:r>
          </w:p>
        </w:tc>
      </w:tr>
      <w:tr w:rsidR="00981C5C" w:rsidTr="00AB4E92">
        <w:trPr>
          <w:trHeight w:val="124"/>
          <w:jc w:val="center"/>
        </w:trPr>
        <w:tc>
          <w:tcPr>
            <w:tcW w:w="1352" w:type="dxa"/>
            <w:noWrap/>
            <w:vAlign w:val="center"/>
          </w:tcPr>
          <w:p w:rsidR="00981C5C" w:rsidRDefault="00D55313">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1</w:t>
            </w:r>
          </w:p>
        </w:tc>
        <w:tc>
          <w:tcPr>
            <w:tcW w:w="4272" w:type="dxa"/>
            <w:noWrap/>
          </w:tcPr>
          <w:p w:rsidR="00981C5C" w:rsidRDefault="00D55313" w:rsidP="00AB4E92">
            <w:pPr>
              <w:ind w:firstLineChars="400" w:firstLine="960"/>
              <w:jc w:val="left"/>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滨江二期扩建工程</w:t>
            </w:r>
          </w:p>
        </w:tc>
        <w:tc>
          <w:tcPr>
            <w:tcW w:w="2266" w:type="dxa"/>
            <w:noWrap/>
            <w:vAlign w:val="center"/>
          </w:tcPr>
          <w:p w:rsidR="00981C5C" w:rsidRDefault="00D55313">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78547</w:t>
            </w:r>
          </w:p>
        </w:tc>
      </w:tr>
      <w:tr w:rsidR="00981C5C" w:rsidTr="00AB4E92">
        <w:trPr>
          <w:trHeight w:val="124"/>
          <w:jc w:val="center"/>
        </w:trPr>
        <w:tc>
          <w:tcPr>
            <w:tcW w:w="1352" w:type="dxa"/>
            <w:noWrap/>
            <w:vAlign w:val="center"/>
          </w:tcPr>
          <w:p w:rsidR="00981C5C" w:rsidRDefault="00D55313">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2</w:t>
            </w:r>
          </w:p>
        </w:tc>
        <w:tc>
          <w:tcPr>
            <w:tcW w:w="4272" w:type="dxa"/>
            <w:noWrap/>
          </w:tcPr>
          <w:p w:rsidR="00981C5C" w:rsidRDefault="00D55313">
            <w:pPr>
              <w:jc w:val="left"/>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突发公共卫生事件处理中心改造工程</w:t>
            </w:r>
          </w:p>
        </w:tc>
        <w:tc>
          <w:tcPr>
            <w:tcW w:w="2266" w:type="dxa"/>
            <w:noWrap/>
            <w:vAlign w:val="center"/>
          </w:tcPr>
          <w:p w:rsidR="00981C5C" w:rsidRDefault="00D55313">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5244</w:t>
            </w:r>
          </w:p>
        </w:tc>
      </w:tr>
    </w:tbl>
    <w:p w:rsidR="00981C5C" w:rsidRDefault="00981C5C" w:rsidP="00DB6A45">
      <w:pPr>
        <w:pStyle w:val="a0"/>
        <w:ind w:firstLine="0"/>
      </w:pPr>
    </w:p>
    <w:p w:rsidR="00981C5C" w:rsidRDefault="00DB6A45" w:rsidP="00DB6A45">
      <w:pPr>
        <w:pStyle w:val="a0"/>
        <w:numPr>
          <w:ilvl w:val="0"/>
          <w:numId w:val="6"/>
        </w:numPr>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检测</w:t>
      </w:r>
      <w:r w:rsidR="00D55313">
        <w:rPr>
          <w:rFonts w:ascii="仿宋" w:eastAsia="仿宋" w:hAnsi="仿宋" w:cs="仿宋" w:hint="eastAsia"/>
          <w:spacing w:val="-8"/>
          <w:w w:val="95"/>
          <w:sz w:val="21"/>
          <w:szCs w:val="21"/>
          <w:lang w:val="en-US"/>
        </w:rPr>
        <w:t>依据</w:t>
      </w:r>
    </w:p>
    <w:p w:rsidR="00981C5C" w:rsidRDefault="00D55313" w:rsidP="00DB6A45">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1.1消防设施检测依据</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3107"/>
        <w:gridCol w:w="1070"/>
        <w:gridCol w:w="3192"/>
      </w:tblGrid>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《建筑消防设施检测技术规范》GA 503-2004</w:t>
            </w: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9</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《水喷雾灭火系统设计规范》GB50219-95</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2</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《建筑设计防火规范》GB 50016—2014</w:t>
            </w: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10</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《气体灭火系统设计规范》</w:t>
            </w:r>
            <w:r>
              <w:rPr>
                <w:rFonts w:ascii="仿宋" w:eastAsia="仿宋" w:hAnsi="仿宋" w:cs="仿宋"/>
                <w:spacing w:val="-8"/>
                <w:w w:val="95"/>
                <w:sz w:val="21"/>
                <w:szCs w:val="21"/>
                <w:lang w:val="en-US"/>
              </w:rPr>
              <w:t>GB50370－2005</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3</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《高层民用建筑设计防火规范》GB50016—2014</w:t>
            </w: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11</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《气体灭火系统施工及验收规范》GB50263-2007</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4</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《火灾自动报警系统设计规范》</w:t>
            </w:r>
            <w:r>
              <w:rPr>
                <w:rFonts w:ascii="仿宋" w:eastAsia="仿宋" w:hAnsi="仿宋" w:cs="仿宋" w:hint="eastAsia"/>
                <w:spacing w:val="-8"/>
                <w:w w:val="95"/>
                <w:sz w:val="21"/>
                <w:szCs w:val="21"/>
                <w:lang w:val="en-US"/>
              </w:rPr>
              <w:lastRenderedPageBreak/>
              <w:t>GB50116-2013</w:t>
            </w: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lastRenderedPageBreak/>
              <w:t>12</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《二氧化碳灭火系统设计规范》</w:t>
            </w:r>
            <w:r>
              <w:rPr>
                <w:rFonts w:ascii="仿宋" w:eastAsia="仿宋" w:hAnsi="仿宋" w:cs="仿宋" w:hint="eastAsia"/>
                <w:spacing w:val="-8"/>
                <w:w w:val="95"/>
                <w:sz w:val="21"/>
                <w:szCs w:val="21"/>
                <w:lang w:val="en-US"/>
              </w:rPr>
              <w:lastRenderedPageBreak/>
              <w:t>GB50193-2010</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lastRenderedPageBreak/>
              <w:t>5</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《火灾自动报警系统施工验收规范》GB 50166-2019</w:t>
            </w: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13</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《泡沫灭火系统设计规范》GB50151-2010</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6</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《自动喷水灭火系统设计规范》GB 50084-2017</w:t>
            </w: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14</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《泡沫灭火系统施工及验收规范》GB50281-2006</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7</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《自动喷水灭火系统施工及验收规范》GB50261-2017</w:t>
            </w: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15</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《人民防空工程设计防火规范》GB50098-2009</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8</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《固定消防炮灭火系统设计规范》GB50338-2003</w:t>
            </w: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16</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《汽车库、修车库、停车场设计防火规范》GB50067-2014</w:t>
            </w:r>
          </w:p>
        </w:tc>
      </w:tr>
      <w:tr w:rsidR="00981C5C">
        <w:tc>
          <w:tcPr>
            <w:tcW w:w="1153" w:type="dxa"/>
          </w:tcPr>
          <w:p w:rsidR="00981C5C" w:rsidRDefault="00981C5C">
            <w:pPr>
              <w:pStyle w:val="a0"/>
              <w:ind w:firstLine="0"/>
              <w:rPr>
                <w:rFonts w:ascii="仿宋" w:eastAsia="仿宋" w:hAnsi="仿宋" w:cs="仿宋"/>
                <w:spacing w:val="-8"/>
                <w:w w:val="95"/>
                <w:sz w:val="21"/>
                <w:szCs w:val="21"/>
                <w:lang w:val="en-US"/>
              </w:rPr>
            </w:pPr>
          </w:p>
        </w:tc>
        <w:tc>
          <w:tcPr>
            <w:tcW w:w="3107" w:type="dxa"/>
          </w:tcPr>
          <w:p w:rsidR="00981C5C" w:rsidRDefault="00981C5C">
            <w:pPr>
              <w:pStyle w:val="a0"/>
              <w:ind w:firstLine="0"/>
              <w:rPr>
                <w:rFonts w:ascii="仿宋" w:eastAsia="仿宋" w:hAnsi="仿宋" w:cs="仿宋"/>
                <w:spacing w:val="-8"/>
                <w:w w:val="95"/>
                <w:sz w:val="21"/>
                <w:szCs w:val="21"/>
                <w:lang w:val="en-US"/>
              </w:rPr>
            </w:pPr>
          </w:p>
        </w:tc>
        <w:tc>
          <w:tcPr>
            <w:tcW w:w="1070"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17</w:t>
            </w:r>
          </w:p>
        </w:tc>
        <w:tc>
          <w:tcPr>
            <w:tcW w:w="3192"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《建筑工程消防验收规范》DB33 1067-2010</w:t>
            </w:r>
          </w:p>
        </w:tc>
      </w:tr>
    </w:tbl>
    <w:p w:rsidR="00981C5C" w:rsidRDefault="00D55313" w:rsidP="00DB6A45">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1.2电气检测依据</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3107"/>
        <w:gridCol w:w="1081"/>
        <w:gridCol w:w="3181"/>
      </w:tblGrid>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《民用建筑电气设计规范》GB51348-2019</w:t>
            </w:r>
          </w:p>
        </w:tc>
        <w:tc>
          <w:tcPr>
            <w:tcW w:w="10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8</w:t>
            </w:r>
          </w:p>
        </w:tc>
        <w:tc>
          <w:tcPr>
            <w:tcW w:w="31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《通用用电设备配电设计规范》GB 50055-2011</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2</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《建筑电气工程施工质量验收规范》GB50303-2015</w:t>
            </w:r>
          </w:p>
        </w:tc>
        <w:tc>
          <w:tcPr>
            <w:tcW w:w="10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9</w:t>
            </w:r>
          </w:p>
        </w:tc>
        <w:tc>
          <w:tcPr>
            <w:tcW w:w="31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《电气装置安装工程电缆线路施工及验收规范》GB50168-2018</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3</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《建筑设计防火规范》GB 50016—2014</w:t>
            </w:r>
          </w:p>
        </w:tc>
        <w:tc>
          <w:tcPr>
            <w:tcW w:w="10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10</w:t>
            </w:r>
          </w:p>
        </w:tc>
        <w:tc>
          <w:tcPr>
            <w:tcW w:w="31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《电气装置安装工程接地装置施工及验收规范》GB 50169-2016</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4</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《高层民用建筑设计防火规范》(2005年版)GB50045-1995</w:t>
            </w:r>
          </w:p>
        </w:tc>
        <w:tc>
          <w:tcPr>
            <w:tcW w:w="10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11</w:t>
            </w:r>
          </w:p>
        </w:tc>
        <w:tc>
          <w:tcPr>
            <w:tcW w:w="31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《电气装置安装工程盘、柜及二次回路接线施工及验收规范》GB-50171-2022</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5</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《电力工程电缆设计规范》GB 50217-2018</w:t>
            </w:r>
          </w:p>
        </w:tc>
        <w:tc>
          <w:tcPr>
            <w:tcW w:w="10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12</w:t>
            </w:r>
          </w:p>
        </w:tc>
        <w:tc>
          <w:tcPr>
            <w:tcW w:w="31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《电气装置安装工程低压电器施工及验收规范》GB 50254-2014</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6</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《10KV及以下变电所设计规范》GB50053-94</w:t>
            </w:r>
          </w:p>
        </w:tc>
        <w:tc>
          <w:tcPr>
            <w:tcW w:w="10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13</w:t>
            </w:r>
          </w:p>
        </w:tc>
        <w:tc>
          <w:tcPr>
            <w:tcW w:w="31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《建筑物电气装置第7部分、第703节》</w:t>
            </w:r>
            <w:r>
              <w:rPr>
                <w:rFonts w:ascii="仿宋" w:eastAsia="仿宋" w:hAnsi="仿宋" w:cs="仿宋"/>
                <w:spacing w:val="-8"/>
                <w:w w:val="95"/>
                <w:sz w:val="21"/>
                <w:szCs w:val="21"/>
                <w:lang w:val="en-US"/>
              </w:rPr>
              <w:t>GB 16895.14-2010</w:t>
            </w:r>
          </w:p>
        </w:tc>
      </w:tr>
      <w:tr w:rsidR="00981C5C">
        <w:tc>
          <w:tcPr>
            <w:tcW w:w="1153"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7</w:t>
            </w:r>
          </w:p>
        </w:tc>
        <w:tc>
          <w:tcPr>
            <w:tcW w:w="3107"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《低压配电设计规范》GB 50054-2011</w:t>
            </w:r>
          </w:p>
        </w:tc>
        <w:tc>
          <w:tcPr>
            <w:tcW w:w="10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14</w:t>
            </w:r>
          </w:p>
        </w:tc>
        <w:tc>
          <w:tcPr>
            <w:tcW w:w="3181" w:type="dxa"/>
          </w:tcPr>
          <w:p w:rsidR="00981C5C" w:rsidRDefault="00D55313">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《建筑工程消防验收规范》DB33/1067-2013</w:t>
            </w:r>
          </w:p>
        </w:tc>
      </w:tr>
    </w:tbl>
    <w:p w:rsidR="00981C5C" w:rsidRDefault="00D55313" w:rsidP="006167F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1.3上述规范如有修订,应按照最新版本执行。</w:t>
      </w:r>
    </w:p>
    <w:p w:rsidR="00981C5C" w:rsidRDefault="00D55313" w:rsidP="006167FC">
      <w:pPr>
        <w:pStyle w:val="a0"/>
        <w:ind w:firstLine="0"/>
        <w:rPr>
          <w:rFonts w:eastAsia="仿宋"/>
          <w:lang w:val="en-US"/>
        </w:rPr>
      </w:pPr>
      <w:r>
        <w:rPr>
          <w:rFonts w:ascii="仿宋" w:eastAsia="仿宋" w:hAnsi="仿宋" w:cs="仿宋" w:hint="eastAsia"/>
          <w:spacing w:val="-8"/>
          <w:w w:val="95"/>
          <w:sz w:val="21"/>
          <w:szCs w:val="21"/>
          <w:lang w:val="en-US"/>
        </w:rPr>
        <w:t>2、检测内容（</w:t>
      </w:r>
      <w:r>
        <w:rPr>
          <w:rFonts w:ascii="仿宋" w:eastAsia="仿宋" w:hAnsi="仿宋" w:cs="仿宋" w:hint="eastAsia"/>
          <w:spacing w:val="-8"/>
          <w:w w:val="95"/>
          <w:sz w:val="21"/>
          <w:szCs w:val="21"/>
        </w:rPr>
        <w:t>包括但不限于以下内容</w:t>
      </w:r>
      <w:r>
        <w:rPr>
          <w:rFonts w:ascii="仿宋" w:eastAsia="仿宋" w:hAnsi="仿宋" w:cs="仿宋" w:hint="eastAsia"/>
          <w:spacing w:val="-8"/>
          <w:w w:val="95"/>
          <w:sz w:val="21"/>
          <w:szCs w:val="21"/>
          <w:lang w:val="en-US"/>
        </w:rPr>
        <w:t>）</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lastRenderedPageBreak/>
        <w:t>2.1</w:t>
      </w:r>
      <w:r>
        <w:rPr>
          <w:rFonts w:ascii="仿宋" w:eastAsia="仿宋" w:hAnsi="仿宋" w:cs="仿宋" w:hint="eastAsia"/>
          <w:spacing w:val="-8"/>
          <w:w w:val="95"/>
          <w:szCs w:val="21"/>
          <w:lang w:val="zh-CN"/>
        </w:rPr>
        <w:t>图纸及资料核查服务</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（1）核查涉及消防的建设工程竣工图纸与经审查合格的消防设计文件相符情况。</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（2）核查消防验收报验材料是否齐全完整，真实合法。</w:t>
      </w:r>
    </w:p>
    <w:p w:rsidR="00981C5C" w:rsidRPr="006C6226" w:rsidRDefault="00D55313" w:rsidP="006167FC">
      <w:pPr>
        <w:pStyle w:val="a0"/>
        <w:ind w:firstLine="0"/>
        <w:rPr>
          <w:rFonts w:ascii="仿宋" w:eastAsia="仿宋" w:hAnsi="仿宋" w:cs="仿宋"/>
          <w:spacing w:val="-8"/>
          <w:w w:val="95"/>
          <w:sz w:val="21"/>
          <w:szCs w:val="21"/>
          <w:lang w:val="en-US"/>
        </w:rPr>
      </w:pPr>
      <w:r w:rsidRPr="00880D67">
        <w:rPr>
          <w:rFonts w:ascii="仿宋" w:eastAsia="仿宋" w:hAnsi="仿宋" w:cs="仿宋" w:hint="eastAsia"/>
          <w:spacing w:val="-8"/>
          <w:w w:val="95"/>
          <w:sz w:val="21"/>
          <w:szCs w:val="21"/>
        </w:rPr>
        <w:t>2</w:t>
      </w:r>
      <w:r>
        <w:rPr>
          <w:rFonts w:ascii="仿宋" w:eastAsia="仿宋" w:hAnsi="仿宋" w:cs="仿宋" w:hint="eastAsia"/>
          <w:spacing w:val="-8"/>
          <w:w w:val="95"/>
          <w:sz w:val="21"/>
          <w:szCs w:val="21"/>
        </w:rPr>
        <w:t>.</w:t>
      </w:r>
      <w:r w:rsidRPr="00880D67">
        <w:rPr>
          <w:rFonts w:ascii="仿宋" w:eastAsia="仿宋" w:hAnsi="仿宋" w:cs="仿宋" w:hint="eastAsia"/>
          <w:spacing w:val="-8"/>
          <w:w w:val="95"/>
          <w:sz w:val="21"/>
          <w:szCs w:val="21"/>
        </w:rPr>
        <w:t>2</w:t>
      </w:r>
      <w:r>
        <w:rPr>
          <w:rFonts w:ascii="仿宋" w:eastAsia="仿宋" w:hAnsi="仿宋" w:cs="仿宋" w:hint="eastAsia"/>
          <w:spacing w:val="-8"/>
          <w:w w:val="95"/>
          <w:sz w:val="21"/>
          <w:szCs w:val="21"/>
        </w:rPr>
        <w:t>消防设施检测服务</w:t>
      </w:r>
      <w:r w:rsidR="006C6226" w:rsidRPr="00880D67">
        <w:rPr>
          <w:rFonts w:ascii="仿宋" w:eastAsia="仿宋" w:hAnsi="仿宋" w:cs="仿宋" w:hint="eastAsia"/>
          <w:spacing w:val="-8"/>
          <w:w w:val="95"/>
          <w:sz w:val="21"/>
          <w:szCs w:val="21"/>
        </w:rPr>
        <w:t>及建筑电气消</w:t>
      </w:r>
      <w:r w:rsidR="006C6226">
        <w:rPr>
          <w:rFonts w:ascii="仿宋" w:eastAsia="仿宋" w:hAnsi="仿宋" w:cs="仿宋" w:hint="eastAsia"/>
          <w:spacing w:val="-8"/>
          <w:w w:val="95"/>
          <w:sz w:val="21"/>
          <w:szCs w:val="21"/>
          <w:lang w:val="en-US"/>
        </w:rPr>
        <w:t>防安全检测服务</w:t>
      </w:r>
    </w:p>
    <w:p w:rsidR="00981C5C" w:rsidRDefault="00D55313" w:rsidP="000C164C">
      <w:pPr>
        <w:spacing w:line="360" w:lineRule="auto"/>
        <w:ind w:firstLineChars="200" w:firstLine="365"/>
        <w:rPr>
          <w:rFonts w:ascii="仿宋" w:eastAsia="仿宋" w:hAnsi="仿宋" w:cs="仿宋"/>
          <w:spacing w:val="-8"/>
          <w:w w:val="95"/>
          <w:szCs w:val="21"/>
          <w:lang w:val="zh-CN"/>
        </w:rPr>
      </w:pPr>
      <w:r>
        <w:rPr>
          <w:rFonts w:ascii="仿宋" w:eastAsia="仿宋" w:hAnsi="仿宋" w:cs="仿宋" w:hint="eastAsia"/>
          <w:spacing w:val="-8"/>
          <w:w w:val="95"/>
          <w:szCs w:val="21"/>
          <w:lang w:val="zh-CN"/>
        </w:rPr>
        <w:t>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对消防设施的功能进行抽样测试、联调联试消防设施的系统功能等。现场检测具体项目必须满足国家相关规范要求及主管部门项目消防验收要求，包括但不限于以下内容：</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建筑类别与耐火等级；</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总平面布局，包括防火间距、消防车道、消防车登高面、消防车登高操作场地等项目；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平面布置，包括消防控制室、消防水泵房等建设工程消防用房的布置，国家工程建设消防技术标准中有位置要求场所（如儿童活动场所、展览厅等）的设置位置。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建筑外墙、屋面保温和建筑外墙装饰；</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防火分隔，包括防火分区，防火墙，防火门、窗，竖向管道井、其他有防火分隔要求的部位等项目；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防爆，包括泄压设施，以及防静电、防积聚、防流散等措施；</w:t>
      </w:r>
    </w:p>
    <w:p w:rsidR="00981C5C" w:rsidRPr="006C6226" w:rsidRDefault="00D55313" w:rsidP="006167F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rPr>
        <w:t>安全疏散，包括安全出口、疏散门、疏散走道、避难层(间)、消防应急照明和疏散指示标志等项目；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消防电梯；</w:t>
      </w:r>
    </w:p>
    <w:p w:rsidR="00981C5C" w:rsidRDefault="006167FC"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消火栓系统，包括供水水源、消防水池、消防水泵、管</w:t>
      </w:r>
      <w:r w:rsidR="00D55313">
        <w:rPr>
          <w:rFonts w:ascii="仿宋" w:eastAsia="仿宋" w:hAnsi="仿宋" w:cs="仿宋" w:hint="eastAsia"/>
          <w:spacing w:val="-8"/>
          <w:w w:val="95"/>
          <w:szCs w:val="21"/>
          <w:lang w:val="zh-CN"/>
        </w:rPr>
        <w:t>网、室内外消火栓、系统功能等项目；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自动喷水灭火系统，包括供水水源、消防水池、消防水泵、报警阀组、喷头、系统功能等项目；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火灾自动报警系统，包括系统形式、火灾探测器的报警功能、系统功能、以及火灾报警控制器、联动设备和消防控制室图形显示装置等项目；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防烟排烟系统及通风、空调系统防火，包括系统设置、排烟风机、管道、系统功能等项目；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消防电气，包括消防电源、柴油发电机房、变配电房、消防配电、用电设施等项目；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建筑灭火器，包括种类、数量、配置、布置等项目；</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泡沫灭火系统，包括泡沫灭火系统防护区、以及泡沫比例混合、泡沫发生装置等项目；</w:t>
      </w:r>
    </w:p>
    <w:p w:rsidR="00A1403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气体灭火系统的系统功能；</w:t>
      </w:r>
    </w:p>
    <w:p w:rsidR="00A1403C" w:rsidRDefault="00A1403C" w:rsidP="00A1403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lastRenderedPageBreak/>
        <w:t>火灾应急广播，消防专用电话；</w:t>
      </w:r>
    </w:p>
    <w:p w:rsidR="00981C5C" w:rsidRPr="00A1403C" w:rsidRDefault="00A1403C" w:rsidP="00A1403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低压用电设备，包括普通灯具，专用灯具安装，开关插座，日光灯，低压电动机、电加热及电动执行机构；</w:t>
      </w:r>
    </w:p>
    <w:p w:rsidR="006167FC" w:rsidRPr="00A1403C" w:rsidRDefault="006167FC" w:rsidP="006167F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供配电装置，包括变配电室建筑要求和设备安装要求，配电箱（盘、屏、柜），照明配电箱，低压供配电装置运行状态的要求，变配电装置触头、接线端子的要求，自备发电机、不间断电源等。</w:t>
      </w:r>
    </w:p>
    <w:p w:rsidR="006167FC" w:rsidRDefault="006167FC" w:rsidP="006167F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室内低压配电线路，包括线缆选择、电缆敷设，电线敷设、线路要求、封闭母线、插接式母线安装、桥架安装、电缆沟和电缆竖井、保护措施、防火封堵等；</w:t>
      </w:r>
    </w:p>
    <w:p w:rsidR="006167FC" w:rsidRPr="006167FC" w:rsidRDefault="006167FC" w:rsidP="006167FC">
      <w:pPr>
        <w:pStyle w:val="a0"/>
        <w:ind w:firstLine="0"/>
      </w:pPr>
      <w:r>
        <w:rPr>
          <w:rFonts w:ascii="仿宋" w:eastAsia="仿宋" w:hAnsi="仿宋" w:cs="仿宋" w:hint="eastAsia"/>
          <w:spacing w:val="-8"/>
          <w:w w:val="95"/>
          <w:sz w:val="21"/>
          <w:szCs w:val="21"/>
          <w:lang w:val="en-US"/>
        </w:rPr>
        <w:t>接地和等电位，包括一般规定和安装要求、接地电阻测试等；</w:t>
      </w:r>
    </w:p>
    <w:p w:rsidR="00981C5C" w:rsidRDefault="00D55313" w:rsidP="006167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其他国家工程建设消防技术标准强制性条文规定的项目，以及带有“严禁”、“必须”、“应”、“不应”、“不得”要求的非强制性条文规定的项目。</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t>3.</w:t>
      </w:r>
      <w:r>
        <w:rPr>
          <w:rFonts w:ascii="仿宋" w:eastAsia="仿宋" w:hAnsi="仿宋" w:cs="仿宋" w:hint="eastAsia"/>
          <w:spacing w:val="-8"/>
          <w:w w:val="95"/>
          <w:szCs w:val="21"/>
          <w:lang w:val="zh-CN"/>
        </w:rPr>
        <w:t>抽样要求</w:t>
      </w:r>
    </w:p>
    <w:p w:rsidR="00981C5C" w:rsidRDefault="009B0177"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现场抽样查看、测量、设施及系统功能测试应符合国家相关规范要求。</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t>4.</w:t>
      </w:r>
      <w:r>
        <w:rPr>
          <w:rFonts w:ascii="仿宋" w:eastAsia="仿宋" w:hAnsi="仿宋" w:cs="仿宋" w:hint="eastAsia"/>
          <w:spacing w:val="-8"/>
          <w:w w:val="95"/>
          <w:szCs w:val="21"/>
          <w:lang w:val="zh-CN"/>
        </w:rPr>
        <w:t>现场</w:t>
      </w:r>
      <w:r>
        <w:rPr>
          <w:rFonts w:ascii="仿宋" w:eastAsia="仿宋" w:hAnsi="仿宋" w:cs="仿宋" w:hint="eastAsia"/>
          <w:spacing w:val="-8"/>
          <w:w w:val="95"/>
          <w:szCs w:val="21"/>
        </w:rPr>
        <w:t>检测</w:t>
      </w:r>
      <w:r>
        <w:rPr>
          <w:rFonts w:ascii="仿宋" w:eastAsia="仿宋" w:hAnsi="仿宋" w:cs="仿宋" w:hint="eastAsia"/>
          <w:spacing w:val="-8"/>
          <w:w w:val="95"/>
          <w:szCs w:val="21"/>
          <w:lang w:val="zh-CN"/>
        </w:rPr>
        <w:t>结论</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消防</w:t>
      </w:r>
      <w:r>
        <w:rPr>
          <w:rFonts w:ascii="仿宋" w:eastAsia="仿宋" w:hAnsi="仿宋" w:cs="仿宋" w:hint="eastAsia"/>
          <w:spacing w:val="-8"/>
          <w:w w:val="95"/>
          <w:szCs w:val="21"/>
        </w:rPr>
        <w:t>检测</w:t>
      </w:r>
      <w:r>
        <w:rPr>
          <w:rFonts w:ascii="仿宋" w:eastAsia="仿宋" w:hAnsi="仿宋" w:cs="仿宋" w:hint="eastAsia"/>
          <w:spacing w:val="-8"/>
          <w:w w:val="95"/>
          <w:szCs w:val="21"/>
          <w:lang w:val="zh-CN"/>
        </w:rPr>
        <w:t>现场评定符合下列条件的，结论为合格；不符合下列任意一项的，结论为不合格：</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 xml:space="preserve">（1）现场评定内容符合经消防设计审查合格的消防设计文件； </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（2）现场评定内容符合国家工程建设消防技术标准强制性条文规定的要求；</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（4）现场</w:t>
      </w:r>
      <w:r>
        <w:rPr>
          <w:rFonts w:ascii="仿宋" w:eastAsia="仿宋" w:hAnsi="仿宋" w:cs="仿宋" w:hint="eastAsia"/>
          <w:spacing w:val="-8"/>
          <w:w w:val="95"/>
          <w:szCs w:val="21"/>
        </w:rPr>
        <w:t>检测</w:t>
      </w:r>
      <w:r>
        <w:rPr>
          <w:rFonts w:ascii="仿宋" w:eastAsia="仿宋" w:hAnsi="仿宋" w:cs="仿宋" w:hint="eastAsia"/>
          <w:spacing w:val="-8"/>
          <w:w w:val="95"/>
          <w:szCs w:val="21"/>
          <w:lang w:val="zh-CN"/>
        </w:rPr>
        <w:t>内容为消防设施性能的，满足设计文件要求并能正常实现；</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（5）现场</w:t>
      </w:r>
      <w:r>
        <w:rPr>
          <w:rFonts w:ascii="仿宋" w:eastAsia="仿宋" w:hAnsi="仿宋" w:cs="仿宋" w:hint="eastAsia"/>
          <w:spacing w:val="-8"/>
          <w:w w:val="95"/>
          <w:szCs w:val="21"/>
        </w:rPr>
        <w:t>检测</w:t>
      </w:r>
      <w:r>
        <w:rPr>
          <w:rFonts w:ascii="仿宋" w:eastAsia="仿宋" w:hAnsi="仿宋" w:cs="仿宋" w:hint="eastAsia"/>
          <w:spacing w:val="-8"/>
          <w:w w:val="95"/>
          <w:szCs w:val="21"/>
          <w:lang w:val="zh-CN"/>
        </w:rPr>
        <w:t>内容为系统功能的，系统主要功能满足设计文件要求并能正常实现。</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t>5.</w:t>
      </w:r>
      <w:r>
        <w:rPr>
          <w:rFonts w:ascii="仿宋" w:eastAsia="仿宋" w:hAnsi="仿宋" w:cs="仿宋" w:hint="eastAsia"/>
          <w:spacing w:val="-8"/>
          <w:w w:val="95"/>
          <w:szCs w:val="21"/>
          <w:lang w:val="zh-CN"/>
        </w:rPr>
        <w:t>整改监督服务</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（1）负责对项目存在的消防验收问题提出整改要求及指导意见服务。</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lang w:val="zh-CN"/>
        </w:rPr>
        <w:t>（2）负责对经办不合格项目的消防</w:t>
      </w:r>
      <w:r>
        <w:rPr>
          <w:rFonts w:ascii="仿宋" w:eastAsia="仿宋" w:hAnsi="仿宋" w:cs="仿宋" w:hint="eastAsia"/>
          <w:spacing w:val="-8"/>
          <w:w w:val="95"/>
          <w:szCs w:val="21"/>
        </w:rPr>
        <w:t>整改</w:t>
      </w:r>
      <w:r>
        <w:rPr>
          <w:rFonts w:ascii="仿宋" w:eastAsia="仿宋" w:hAnsi="仿宋" w:cs="仿宋" w:hint="eastAsia"/>
          <w:spacing w:val="-8"/>
          <w:w w:val="95"/>
          <w:szCs w:val="21"/>
          <w:lang w:val="zh-CN"/>
        </w:rPr>
        <w:t>工作，直至项目</w:t>
      </w:r>
      <w:r>
        <w:rPr>
          <w:rFonts w:ascii="仿宋" w:eastAsia="仿宋" w:hAnsi="仿宋" w:cs="仿宋" w:hint="eastAsia"/>
          <w:spacing w:val="-8"/>
          <w:w w:val="95"/>
          <w:szCs w:val="21"/>
        </w:rPr>
        <w:t>满足</w:t>
      </w:r>
      <w:r>
        <w:rPr>
          <w:rFonts w:ascii="仿宋" w:eastAsia="仿宋" w:hAnsi="仿宋" w:cs="仿宋" w:hint="eastAsia"/>
          <w:spacing w:val="-8"/>
          <w:w w:val="95"/>
          <w:szCs w:val="21"/>
          <w:lang w:val="zh-CN"/>
        </w:rPr>
        <w:t>消防验收</w:t>
      </w:r>
      <w:r>
        <w:rPr>
          <w:rFonts w:ascii="仿宋" w:eastAsia="仿宋" w:hAnsi="仿宋" w:cs="仿宋" w:hint="eastAsia"/>
          <w:spacing w:val="-8"/>
          <w:w w:val="95"/>
          <w:szCs w:val="21"/>
        </w:rPr>
        <w:t>合格条件</w:t>
      </w:r>
      <w:r>
        <w:rPr>
          <w:rFonts w:ascii="仿宋" w:eastAsia="仿宋" w:hAnsi="仿宋" w:cs="仿宋" w:hint="eastAsia"/>
          <w:spacing w:val="-8"/>
          <w:w w:val="95"/>
          <w:szCs w:val="21"/>
          <w:lang w:val="zh-CN"/>
        </w:rPr>
        <w:t>。</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t>6.</w:t>
      </w:r>
      <w:r>
        <w:rPr>
          <w:rFonts w:ascii="仿宋" w:eastAsia="仿宋" w:hAnsi="仿宋" w:cs="仿宋" w:hint="eastAsia"/>
          <w:spacing w:val="-8"/>
          <w:w w:val="95"/>
          <w:szCs w:val="21"/>
          <w:lang w:val="zh-CN"/>
        </w:rPr>
        <w:t>协助采购人进行档案整理</w:t>
      </w:r>
    </w:p>
    <w:p w:rsidR="00981C5C" w:rsidRDefault="00D55313" w:rsidP="00A1403C">
      <w:pPr>
        <w:spacing w:line="360" w:lineRule="auto"/>
        <w:ind w:firstLineChars="96" w:firstLine="175"/>
        <w:rPr>
          <w:rFonts w:ascii="仿宋" w:eastAsia="仿宋" w:hAnsi="仿宋" w:cs="仿宋"/>
          <w:spacing w:val="-8"/>
          <w:w w:val="95"/>
          <w:szCs w:val="21"/>
          <w:lang w:val="zh-CN"/>
        </w:rPr>
      </w:pPr>
      <w:r>
        <w:rPr>
          <w:rFonts w:ascii="仿宋" w:eastAsia="仿宋" w:hAnsi="仿宋" w:cs="仿宋" w:hint="eastAsia"/>
          <w:spacing w:val="-8"/>
          <w:w w:val="95"/>
          <w:szCs w:val="21"/>
          <w:lang w:val="zh-CN"/>
        </w:rPr>
        <w:t>提供建设工程消防</w:t>
      </w:r>
      <w:r>
        <w:rPr>
          <w:rFonts w:ascii="仿宋" w:eastAsia="仿宋" w:hAnsi="仿宋" w:cs="仿宋" w:hint="eastAsia"/>
          <w:spacing w:val="-8"/>
          <w:w w:val="95"/>
          <w:szCs w:val="21"/>
        </w:rPr>
        <w:t>检测方</w:t>
      </w:r>
      <w:r>
        <w:rPr>
          <w:rFonts w:ascii="仿宋" w:eastAsia="仿宋" w:hAnsi="仿宋" w:cs="仿宋" w:hint="eastAsia"/>
          <w:spacing w:val="-8"/>
          <w:w w:val="95"/>
          <w:szCs w:val="21"/>
          <w:lang w:val="zh-CN"/>
        </w:rPr>
        <w:t>应当协助采购人及时对所承办的消防验收的相关资料进行收集、整理，及时按照归档内容及装订顺序立卷存放，确保案卷材料齐全完整、真实合法。</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t>7</w:t>
      </w:r>
      <w:r w:rsidR="00C46B42">
        <w:rPr>
          <w:rFonts w:ascii="仿宋" w:eastAsia="仿宋" w:hAnsi="仿宋" w:cs="仿宋" w:hint="eastAsia"/>
          <w:spacing w:val="-8"/>
          <w:w w:val="95"/>
          <w:szCs w:val="21"/>
          <w:lang w:val="zh-CN"/>
        </w:rPr>
        <w:t>、消防检测服务需要由</w:t>
      </w:r>
      <w:r>
        <w:rPr>
          <w:rFonts w:ascii="仿宋" w:eastAsia="仿宋" w:hAnsi="仿宋" w:cs="仿宋" w:hint="eastAsia"/>
          <w:spacing w:val="-8"/>
          <w:w w:val="95"/>
          <w:szCs w:val="21"/>
          <w:lang w:val="zh-CN"/>
        </w:rPr>
        <w:t>满足国家、省级消防部门制定的《消防技术服务机构从业条件》要求，并在“浙江省消防技术服务管理系统”备案登记，接受行业监管的单位承担。</w:t>
      </w:r>
    </w:p>
    <w:p w:rsidR="00981C5C" w:rsidRDefault="00D55313" w:rsidP="00A1403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t>8</w:t>
      </w:r>
      <w:r>
        <w:rPr>
          <w:rFonts w:ascii="仿宋" w:eastAsia="仿宋" w:hAnsi="仿宋" w:cs="仿宋" w:hint="eastAsia"/>
          <w:spacing w:val="-8"/>
          <w:w w:val="95"/>
          <w:szCs w:val="21"/>
          <w:lang w:val="zh-CN"/>
        </w:rPr>
        <w:t>、其他</w:t>
      </w:r>
    </w:p>
    <w:p w:rsidR="00981C5C" w:rsidRDefault="00D55313" w:rsidP="00A1403C">
      <w:pPr>
        <w:spacing w:line="360" w:lineRule="auto"/>
        <w:ind w:firstLineChars="98" w:firstLine="179"/>
        <w:rPr>
          <w:rFonts w:ascii="仿宋" w:eastAsia="仿宋" w:hAnsi="仿宋" w:cs="仿宋"/>
          <w:spacing w:val="-8"/>
          <w:w w:val="95"/>
          <w:szCs w:val="21"/>
          <w:lang w:val="zh-CN"/>
        </w:rPr>
      </w:pPr>
      <w:r>
        <w:rPr>
          <w:rFonts w:ascii="仿宋" w:eastAsia="仿宋" w:hAnsi="仿宋" w:cs="仿宋" w:hint="eastAsia"/>
          <w:spacing w:val="-8"/>
          <w:w w:val="95"/>
          <w:szCs w:val="21"/>
          <w:lang w:val="zh-CN"/>
        </w:rPr>
        <w:t>在供应商服务期内，若国家、省、市有关部门出台建设工程消防验收有关的新政策、新规定、新要求等，</w:t>
      </w:r>
      <w:r>
        <w:rPr>
          <w:rFonts w:ascii="仿宋" w:eastAsia="仿宋" w:hAnsi="仿宋" w:cs="仿宋" w:hint="eastAsia"/>
          <w:spacing w:val="-8"/>
          <w:w w:val="95"/>
          <w:szCs w:val="21"/>
          <w:lang w:val="zh-CN"/>
        </w:rPr>
        <w:lastRenderedPageBreak/>
        <w:t>应按相关规定提供服务。</w:t>
      </w:r>
    </w:p>
    <w:p w:rsidR="00981C5C" w:rsidRDefault="00D55313">
      <w:pPr>
        <w:spacing w:line="360" w:lineRule="auto"/>
        <w:rPr>
          <w:rFonts w:ascii="仿宋" w:eastAsia="仿宋" w:hAnsi="仿宋" w:cs="仿宋"/>
          <w:b/>
          <w:bCs/>
          <w:spacing w:val="-8"/>
          <w:w w:val="95"/>
          <w:szCs w:val="21"/>
          <w:lang w:val="zh-CN"/>
        </w:rPr>
      </w:pPr>
      <w:r>
        <w:rPr>
          <w:rFonts w:ascii="仿宋" w:eastAsia="仿宋" w:hAnsi="仿宋" w:cs="仿宋" w:hint="eastAsia"/>
          <w:b/>
          <w:bCs/>
          <w:spacing w:val="-8"/>
          <w:w w:val="95"/>
          <w:szCs w:val="21"/>
        </w:rPr>
        <w:t>三</w:t>
      </w:r>
      <w:r>
        <w:rPr>
          <w:rFonts w:ascii="仿宋" w:eastAsia="仿宋" w:hAnsi="仿宋" w:cs="仿宋" w:hint="eastAsia"/>
          <w:b/>
          <w:bCs/>
          <w:spacing w:val="-8"/>
          <w:w w:val="95"/>
          <w:szCs w:val="21"/>
          <w:lang w:val="zh-CN"/>
        </w:rPr>
        <w:t>、服务质量要求</w:t>
      </w:r>
    </w:p>
    <w:p w:rsidR="00981C5C" w:rsidRDefault="00D55313" w:rsidP="000C164C">
      <w:pPr>
        <w:spacing w:line="360" w:lineRule="auto"/>
        <w:ind w:firstLineChars="200" w:firstLine="365"/>
        <w:rPr>
          <w:rFonts w:ascii="仿宋" w:eastAsia="仿宋" w:hAnsi="仿宋" w:cs="仿宋"/>
          <w:spacing w:val="-8"/>
          <w:w w:val="95"/>
          <w:szCs w:val="21"/>
          <w:lang w:val="zh-CN"/>
        </w:rPr>
      </w:pPr>
      <w:r>
        <w:rPr>
          <w:rFonts w:ascii="仿宋" w:eastAsia="仿宋" w:hAnsi="仿宋" w:cs="仿宋" w:hint="eastAsia"/>
          <w:spacing w:val="-8"/>
          <w:w w:val="95"/>
          <w:szCs w:val="21"/>
          <w:lang w:val="zh-CN"/>
        </w:rPr>
        <w:t>供应商严格依据建设工程法律法规、国家工程建设消防技术标准、《建设工程消防设计审查验收管理暂行规定》（住建部令第51号）和国家、省、市有关规定和实施细则要求、涉及消防的建设工程竣工图纸等提供服务，开展现场交底及建设阶段性服务、图纸及资料核查服务、现场评定及消防设施检测服务、整改监督服务及档案整理，现场</w:t>
      </w:r>
      <w:r>
        <w:rPr>
          <w:rFonts w:ascii="仿宋" w:eastAsia="仿宋" w:hAnsi="仿宋" w:cs="仿宋" w:hint="eastAsia"/>
          <w:spacing w:val="-8"/>
          <w:w w:val="95"/>
          <w:szCs w:val="21"/>
        </w:rPr>
        <w:t>检测</w:t>
      </w:r>
      <w:r>
        <w:rPr>
          <w:rFonts w:ascii="仿宋" w:eastAsia="仿宋" w:hAnsi="仿宋" w:cs="仿宋" w:hint="eastAsia"/>
          <w:spacing w:val="-8"/>
          <w:w w:val="95"/>
          <w:szCs w:val="21"/>
          <w:lang w:val="zh-CN"/>
        </w:rPr>
        <w:t>意见或报告应及时反馈，结论应清晰、明确，并对提供的意见或报告负责，提供的意见或报告须各专业技术人员、一级注册消防工程师及项目负责人签字，供应商盖章确认。</w:t>
      </w:r>
    </w:p>
    <w:p w:rsidR="00981C5C" w:rsidRDefault="00D55313">
      <w:pPr>
        <w:pStyle w:val="a0"/>
        <w:numPr>
          <w:ilvl w:val="0"/>
          <w:numId w:val="3"/>
        </w:numPr>
        <w:ind w:firstLine="0"/>
        <w:rPr>
          <w:rFonts w:ascii="仿宋" w:eastAsia="仿宋" w:hAnsi="仿宋" w:cs="仿宋"/>
          <w:b/>
          <w:bCs/>
          <w:spacing w:val="-8"/>
          <w:w w:val="95"/>
          <w:sz w:val="21"/>
          <w:szCs w:val="21"/>
          <w:lang w:val="en-US"/>
        </w:rPr>
      </w:pPr>
      <w:r>
        <w:rPr>
          <w:rFonts w:ascii="仿宋" w:eastAsia="仿宋" w:hAnsi="仿宋" w:cs="仿宋" w:hint="eastAsia"/>
          <w:b/>
          <w:bCs/>
          <w:spacing w:val="-8"/>
          <w:w w:val="95"/>
          <w:sz w:val="21"/>
          <w:szCs w:val="21"/>
          <w:lang w:val="en-US"/>
        </w:rPr>
        <w:t>检测及提交报告时间</w:t>
      </w:r>
    </w:p>
    <w:p w:rsidR="00981C5C" w:rsidRDefault="00C46B42">
      <w:pPr>
        <w:pStyle w:val="a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具体检测时间由采购人提前一周通知，</w:t>
      </w:r>
      <w:r w:rsidR="0044350E">
        <w:rPr>
          <w:rFonts w:ascii="仿宋" w:eastAsia="仿宋" w:hAnsi="仿宋" w:cs="仿宋" w:hint="eastAsia"/>
          <w:spacing w:val="-8"/>
          <w:w w:val="95"/>
          <w:sz w:val="21"/>
          <w:szCs w:val="21"/>
          <w:lang w:val="en-US"/>
        </w:rPr>
        <w:t>供应商在接到通知后一周内完成检测工作，</w:t>
      </w:r>
      <w:r w:rsidR="00D55313">
        <w:rPr>
          <w:rFonts w:ascii="仿宋" w:eastAsia="仿宋" w:hAnsi="仿宋" w:cs="仿宋" w:hint="eastAsia"/>
          <w:spacing w:val="-8"/>
          <w:w w:val="95"/>
          <w:sz w:val="21"/>
          <w:szCs w:val="21"/>
          <w:lang w:val="en-US"/>
        </w:rPr>
        <w:t>检测合格后三天内出具符合消防验收的《建筑消防设施技术测试报告》和《电气消防安全检测技术测试报告》等相关所需报告。</w:t>
      </w:r>
    </w:p>
    <w:p w:rsidR="00981C5C" w:rsidRDefault="00D55313">
      <w:pPr>
        <w:pStyle w:val="a0"/>
        <w:ind w:firstLine="0"/>
        <w:rPr>
          <w:rFonts w:ascii="仿宋" w:eastAsia="仿宋" w:hAnsi="仿宋" w:cs="仿宋"/>
          <w:b/>
          <w:bCs/>
          <w:spacing w:val="-8"/>
          <w:w w:val="95"/>
          <w:sz w:val="21"/>
          <w:szCs w:val="21"/>
          <w:lang w:val="en-US"/>
        </w:rPr>
      </w:pPr>
      <w:r>
        <w:rPr>
          <w:rFonts w:ascii="仿宋" w:eastAsia="仿宋" w:hAnsi="仿宋" w:cs="仿宋" w:hint="eastAsia"/>
          <w:b/>
          <w:bCs/>
          <w:spacing w:val="-8"/>
          <w:w w:val="95"/>
          <w:sz w:val="21"/>
          <w:szCs w:val="21"/>
          <w:lang w:val="en-US"/>
        </w:rPr>
        <w:t>五、</w:t>
      </w:r>
      <w:r>
        <w:rPr>
          <w:rFonts w:ascii="仿宋" w:eastAsia="仿宋" w:hAnsi="仿宋" w:cs="仿宋" w:hint="eastAsia"/>
          <w:b/>
          <w:bCs/>
          <w:spacing w:val="-8"/>
          <w:w w:val="95"/>
          <w:sz w:val="21"/>
          <w:szCs w:val="21"/>
        </w:rPr>
        <w:t>结算标准及报价要求</w:t>
      </w:r>
    </w:p>
    <w:p w:rsidR="0081304C" w:rsidRDefault="00D55313" w:rsidP="0081304C">
      <w:pPr>
        <w:pStyle w:val="a0"/>
        <w:rPr>
          <w:rFonts w:ascii="仿宋" w:eastAsia="仿宋" w:hAnsi="仿宋" w:cs="仿宋"/>
          <w:spacing w:val="-8"/>
          <w:w w:val="95"/>
          <w:sz w:val="21"/>
          <w:szCs w:val="21"/>
        </w:rPr>
      </w:pPr>
      <w:r>
        <w:rPr>
          <w:rFonts w:ascii="仿宋" w:eastAsia="仿宋" w:hAnsi="仿宋" w:cs="仿宋" w:hint="eastAsia"/>
          <w:spacing w:val="-8"/>
          <w:w w:val="95"/>
          <w:sz w:val="21"/>
          <w:szCs w:val="21"/>
        </w:rPr>
        <w:t>服务费用采用</w:t>
      </w:r>
      <w:r>
        <w:rPr>
          <w:rFonts w:ascii="仿宋" w:eastAsia="仿宋" w:hAnsi="仿宋" w:cs="仿宋" w:hint="eastAsia"/>
          <w:spacing w:val="-8"/>
          <w:w w:val="95"/>
          <w:sz w:val="21"/>
          <w:szCs w:val="21"/>
          <w:lang w:val="en-US"/>
        </w:rPr>
        <w:t>总</w:t>
      </w:r>
      <w:r w:rsidR="0081304C">
        <w:rPr>
          <w:rFonts w:ascii="仿宋" w:eastAsia="仿宋" w:hAnsi="仿宋" w:cs="仿宋" w:hint="eastAsia"/>
          <w:spacing w:val="-8"/>
          <w:w w:val="95"/>
          <w:sz w:val="21"/>
          <w:szCs w:val="21"/>
        </w:rPr>
        <w:t>价包干的方式，最高服务价格定为1</w:t>
      </w:r>
      <w:r w:rsidR="0081304C">
        <w:rPr>
          <w:rFonts w:ascii="仿宋" w:eastAsia="仿宋" w:hAnsi="仿宋" w:cs="仿宋" w:hint="eastAsia"/>
          <w:spacing w:val="-8"/>
          <w:w w:val="95"/>
          <w:sz w:val="21"/>
          <w:szCs w:val="21"/>
          <w:lang w:val="en-US"/>
        </w:rPr>
        <w:t>0</w:t>
      </w:r>
      <w:r w:rsidR="0081304C">
        <w:rPr>
          <w:rFonts w:ascii="仿宋" w:eastAsia="仿宋" w:hAnsi="仿宋" w:cs="仿宋" w:hint="eastAsia"/>
          <w:spacing w:val="-8"/>
          <w:w w:val="95"/>
          <w:sz w:val="21"/>
          <w:szCs w:val="21"/>
        </w:rPr>
        <w:t>0000元</w:t>
      </w:r>
      <w:r w:rsidR="00833430">
        <w:rPr>
          <w:rFonts w:ascii="仿宋" w:eastAsia="仿宋" w:hAnsi="仿宋" w:cs="仿宋" w:hint="eastAsia"/>
          <w:spacing w:val="-8"/>
          <w:w w:val="95"/>
          <w:sz w:val="21"/>
          <w:szCs w:val="21"/>
        </w:rPr>
        <w:t>（人民币</w:t>
      </w:r>
      <w:r w:rsidR="00BC61DD">
        <w:rPr>
          <w:rFonts w:ascii="仿宋" w:eastAsia="仿宋" w:hAnsi="仿宋" w:cs="仿宋" w:hint="eastAsia"/>
          <w:spacing w:val="-8"/>
          <w:w w:val="95"/>
          <w:sz w:val="21"/>
          <w:szCs w:val="21"/>
        </w:rPr>
        <w:t>壹</w:t>
      </w:r>
      <w:r w:rsidR="00833430">
        <w:rPr>
          <w:rFonts w:ascii="仿宋" w:eastAsia="仿宋" w:hAnsi="仿宋" w:cs="仿宋" w:hint="eastAsia"/>
          <w:spacing w:val="-8"/>
          <w:w w:val="95"/>
          <w:sz w:val="21"/>
          <w:szCs w:val="21"/>
        </w:rPr>
        <w:t>拾万元整）</w:t>
      </w:r>
      <w:r w:rsidR="0081304C">
        <w:rPr>
          <w:rFonts w:ascii="仿宋" w:eastAsia="仿宋" w:hAnsi="仿宋" w:cs="仿宋" w:hint="eastAsia"/>
          <w:spacing w:val="-8"/>
          <w:w w:val="95"/>
          <w:sz w:val="21"/>
          <w:szCs w:val="21"/>
        </w:rPr>
        <w:t>。</w:t>
      </w: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A1403C" w:rsidRDefault="00A1403C">
      <w:pPr>
        <w:pStyle w:val="a0"/>
        <w:rPr>
          <w:rFonts w:ascii="仿宋" w:eastAsia="仿宋" w:hAnsi="仿宋" w:cs="仿宋"/>
          <w:spacing w:val="-8"/>
          <w:w w:val="95"/>
          <w:sz w:val="21"/>
          <w:szCs w:val="21"/>
        </w:rPr>
      </w:pPr>
    </w:p>
    <w:p w:rsidR="00A1403C" w:rsidRDefault="00A1403C">
      <w:pPr>
        <w:pStyle w:val="a0"/>
        <w:rPr>
          <w:rFonts w:ascii="仿宋" w:eastAsia="仿宋" w:hAnsi="仿宋" w:cs="仿宋"/>
          <w:spacing w:val="-8"/>
          <w:w w:val="95"/>
          <w:sz w:val="21"/>
          <w:szCs w:val="21"/>
        </w:rPr>
      </w:pPr>
    </w:p>
    <w:p w:rsidR="00981C5C" w:rsidRDefault="00981C5C">
      <w:pPr>
        <w:pStyle w:val="a0"/>
        <w:rPr>
          <w:rFonts w:ascii="仿宋" w:eastAsia="仿宋" w:hAnsi="仿宋" w:cs="仿宋"/>
          <w:spacing w:val="-8"/>
          <w:w w:val="95"/>
          <w:sz w:val="21"/>
          <w:szCs w:val="21"/>
        </w:rPr>
      </w:pPr>
    </w:p>
    <w:p w:rsidR="00DD7A28" w:rsidRDefault="00DD7A28">
      <w:pPr>
        <w:pStyle w:val="a0"/>
        <w:rPr>
          <w:rFonts w:ascii="仿宋" w:eastAsia="仿宋" w:hAnsi="仿宋" w:cs="仿宋"/>
          <w:spacing w:val="-8"/>
          <w:w w:val="95"/>
          <w:sz w:val="21"/>
          <w:szCs w:val="21"/>
        </w:rPr>
      </w:pPr>
      <w:bookmarkStart w:id="0" w:name="_GoBack"/>
      <w:bookmarkEnd w:id="0"/>
    </w:p>
    <w:sectPr w:rsidR="00DD7A28" w:rsidSect="00981C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15C" w:rsidRDefault="00D0315C" w:rsidP="00981C5C">
      <w:r>
        <w:separator/>
      </w:r>
    </w:p>
  </w:endnote>
  <w:endnote w:type="continuationSeparator" w:id="1">
    <w:p w:rsidR="00D0315C" w:rsidRDefault="00D0315C" w:rsidP="00981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15C" w:rsidRDefault="00D0315C" w:rsidP="00981C5C">
      <w:r>
        <w:separator/>
      </w:r>
    </w:p>
  </w:footnote>
  <w:footnote w:type="continuationSeparator" w:id="1">
    <w:p w:rsidR="00D0315C" w:rsidRDefault="00D0315C" w:rsidP="00981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1F46BD"/>
    <w:multiLevelType w:val="singleLevel"/>
    <w:tmpl w:val="A91F46BD"/>
    <w:lvl w:ilvl="0">
      <w:start w:val="1"/>
      <w:numFmt w:val="decimal"/>
      <w:suff w:val="nothing"/>
      <w:lvlText w:val="%1、"/>
      <w:lvlJc w:val="left"/>
    </w:lvl>
  </w:abstractNum>
  <w:abstractNum w:abstractNumId="1">
    <w:nsid w:val="C5314110"/>
    <w:multiLevelType w:val="singleLevel"/>
    <w:tmpl w:val="C5314110"/>
    <w:lvl w:ilvl="0">
      <w:start w:val="1"/>
      <w:numFmt w:val="chineseCounting"/>
      <w:suff w:val="nothing"/>
      <w:lvlText w:val="%1、"/>
      <w:lvlJc w:val="left"/>
      <w:rPr>
        <w:rFonts w:hint="eastAsia"/>
      </w:rPr>
    </w:lvl>
  </w:abstractNum>
  <w:abstractNum w:abstractNumId="2">
    <w:nsid w:val="038B2337"/>
    <w:multiLevelType w:val="multilevel"/>
    <w:tmpl w:val="038B233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066F7006"/>
    <w:multiLevelType w:val="multilevel"/>
    <w:tmpl w:val="066F700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38067DE1"/>
    <w:multiLevelType w:val="hybridMultilevel"/>
    <w:tmpl w:val="38A443C0"/>
    <w:lvl w:ilvl="0" w:tplc="A1642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B194E9"/>
    <w:multiLevelType w:val="singleLevel"/>
    <w:tmpl w:val="68B194E9"/>
    <w:lvl w:ilvl="0">
      <w:start w:val="4"/>
      <w:numFmt w:val="chineseCounting"/>
      <w:suff w:val="nothing"/>
      <w:lvlText w:val="%1、"/>
      <w:lvlJc w:val="left"/>
      <w:rPr>
        <w:rFonts w:hint="eastAsia"/>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2ZTk3YzIwMmJjOWJhMDk0MzMwOGQ4ZTFkMTdhZjAifQ=="/>
  </w:docVars>
  <w:rsids>
    <w:rsidRoot w:val="00981C5C"/>
    <w:rsid w:val="000C164C"/>
    <w:rsid w:val="00256FA4"/>
    <w:rsid w:val="003F79B3"/>
    <w:rsid w:val="0044350E"/>
    <w:rsid w:val="006069CE"/>
    <w:rsid w:val="006167FC"/>
    <w:rsid w:val="00622291"/>
    <w:rsid w:val="006C6226"/>
    <w:rsid w:val="007043CF"/>
    <w:rsid w:val="0081304C"/>
    <w:rsid w:val="00833430"/>
    <w:rsid w:val="00880D67"/>
    <w:rsid w:val="00981C5C"/>
    <w:rsid w:val="009B0177"/>
    <w:rsid w:val="00A1403C"/>
    <w:rsid w:val="00AB4E92"/>
    <w:rsid w:val="00BC61DD"/>
    <w:rsid w:val="00C46B42"/>
    <w:rsid w:val="00D0315C"/>
    <w:rsid w:val="00D55313"/>
    <w:rsid w:val="00DB6A45"/>
    <w:rsid w:val="00DC101C"/>
    <w:rsid w:val="00DC6239"/>
    <w:rsid w:val="00DD7A28"/>
    <w:rsid w:val="00DF65EC"/>
    <w:rsid w:val="00E94EFC"/>
    <w:rsid w:val="00F80781"/>
    <w:rsid w:val="00F82164"/>
    <w:rsid w:val="0706087F"/>
    <w:rsid w:val="0B59599E"/>
    <w:rsid w:val="0BCF0C75"/>
    <w:rsid w:val="138E3BA4"/>
    <w:rsid w:val="157724FC"/>
    <w:rsid w:val="1B1978AF"/>
    <w:rsid w:val="1C4D7F57"/>
    <w:rsid w:val="210914B0"/>
    <w:rsid w:val="2AFE63C9"/>
    <w:rsid w:val="37F32F48"/>
    <w:rsid w:val="41804A12"/>
    <w:rsid w:val="50EF2DA4"/>
    <w:rsid w:val="5594267A"/>
    <w:rsid w:val="580170AE"/>
    <w:rsid w:val="5D04750C"/>
    <w:rsid w:val="5EFF1C82"/>
    <w:rsid w:val="606D05A9"/>
    <w:rsid w:val="624B1296"/>
    <w:rsid w:val="63850B37"/>
    <w:rsid w:val="653E3DC7"/>
    <w:rsid w:val="669E1076"/>
    <w:rsid w:val="7D442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81C5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81C5C"/>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rsid w:val="00981C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981C5C"/>
    <w:pPr>
      <w:ind w:firstLine="420"/>
    </w:pPr>
  </w:style>
  <w:style w:type="paragraph" w:styleId="a4">
    <w:name w:val="Body Text"/>
    <w:basedOn w:val="a"/>
    <w:next w:val="a0"/>
    <w:rsid w:val="00981C5C"/>
    <w:pPr>
      <w:autoSpaceDE w:val="0"/>
      <w:autoSpaceDN w:val="0"/>
      <w:adjustRightInd w:val="0"/>
      <w:spacing w:line="360" w:lineRule="auto"/>
    </w:pPr>
    <w:rPr>
      <w:rFonts w:ascii="宋体"/>
      <w:sz w:val="24"/>
      <w:lang w:val="zh-CN"/>
    </w:rPr>
  </w:style>
  <w:style w:type="paragraph" w:styleId="a5">
    <w:name w:val="Date"/>
    <w:basedOn w:val="a"/>
    <w:next w:val="a"/>
    <w:semiHidden/>
    <w:qFormat/>
    <w:rsid w:val="00981C5C"/>
    <w:pPr>
      <w:ind w:leftChars="2500" w:left="100"/>
    </w:pPr>
    <w:rPr>
      <w:sz w:val="44"/>
      <w:szCs w:val="44"/>
      <w:lang w:val="zh-CN"/>
    </w:rPr>
  </w:style>
  <w:style w:type="paragraph" w:styleId="a6">
    <w:name w:val="footer"/>
    <w:basedOn w:val="a"/>
    <w:uiPriority w:val="99"/>
    <w:unhideWhenUsed/>
    <w:qFormat/>
    <w:rsid w:val="00981C5C"/>
    <w:pPr>
      <w:tabs>
        <w:tab w:val="center" w:pos="4153"/>
        <w:tab w:val="right" w:pos="8306"/>
      </w:tabs>
      <w:snapToGrid w:val="0"/>
      <w:jc w:val="left"/>
    </w:pPr>
    <w:rPr>
      <w:sz w:val="18"/>
      <w:szCs w:val="18"/>
    </w:rPr>
  </w:style>
  <w:style w:type="paragraph" w:styleId="a7">
    <w:name w:val="Normal (Web)"/>
    <w:basedOn w:val="a"/>
    <w:rsid w:val="00981C5C"/>
    <w:pPr>
      <w:spacing w:beforeAutospacing="1" w:afterAutospacing="1"/>
      <w:jc w:val="left"/>
    </w:pPr>
    <w:rPr>
      <w:rFonts w:cs="Times New Roman"/>
      <w:kern w:val="0"/>
      <w:sz w:val="24"/>
    </w:rPr>
  </w:style>
  <w:style w:type="table" w:styleId="a8">
    <w:name w:val="Table Grid"/>
    <w:basedOn w:val="a2"/>
    <w:uiPriority w:val="59"/>
    <w:qFormat/>
    <w:rsid w:val="00981C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981C5C"/>
    <w:rPr>
      <w:b/>
    </w:rPr>
  </w:style>
  <w:style w:type="character" w:customStyle="1" w:styleId="NormalCharacter">
    <w:name w:val="NormalCharacter"/>
    <w:qFormat/>
    <w:rsid w:val="00981C5C"/>
    <w:rPr>
      <w:rFonts w:ascii="仿宋_GB2312" w:eastAsia="仿宋_GB2312"/>
      <w:b/>
      <w:sz w:val="32"/>
    </w:rPr>
  </w:style>
  <w:style w:type="paragraph" w:styleId="aa">
    <w:name w:val="List Paragraph"/>
    <w:basedOn w:val="a"/>
    <w:uiPriority w:val="34"/>
    <w:qFormat/>
    <w:rsid w:val="00981C5C"/>
    <w:pPr>
      <w:ind w:firstLineChars="200" w:firstLine="420"/>
    </w:pPr>
    <w:rPr>
      <w:szCs w:val="22"/>
    </w:rPr>
  </w:style>
  <w:style w:type="paragraph" w:styleId="ab">
    <w:name w:val="Balloon Text"/>
    <w:basedOn w:val="a"/>
    <w:link w:val="Char"/>
    <w:rsid w:val="000C164C"/>
    <w:rPr>
      <w:sz w:val="18"/>
      <w:szCs w:val="18"/>
    </w:rPr>
  </w:style>
  <w:style w:type="character" w:customStyle="1" w:styleId="Char">
    <w:name w:val="批注框文本 Char"/>
    <w:basedOn w:val="a1"/>
    <w:link w:val="ab"/>
    <w:rsid w:val="000C164C"/>
    <w:rPr>
      <w:rFonts w:asciiTheme="minorHAnsi" w:eastAsiaTheme="minorEastAsia" w:hAnsiTheme="minorHAnsi" w:cstheme="minorBidi"/>
      <w:kern w:val="2"/>
      <w:sz w:val="18"/>
      <w:szCs w:val="18"/>
    </w:rPr>
  </w:style>
  <w:style w:type="paragraph" w:styleId="ac">
    <w:name w:val="header"/>
    <w:basedOn w:val="a"/>
    <w:link w:val="Char0"/>
    <w:rsid w:val="000C16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c"/>
    <w:rsid w:val="000C16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B9DE-8AE5-43DF-B89C-0DD131A9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4</cp:revision>
  <dcterms:created xsi:type="dcterms:W3CDTF">2022-05-13T07:57:00Z</dcterms:created>
  <dcterms:modified xsi:type="dcterms:W3CDTF">2022-05-13T08:08:00Z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B3FA7F9084B4432181D26F5F6C3C9711</vt:lpwstr>
  </property>
</Properties>
</file>